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1E6C38" w14:textId="34D85A33" w:rsidR="00EC18F9" w:rsidRPr="00227A57" w:rsidRDefault="00EC18F9" w:rsidP="00EC18F9">
      <w:pPr>
        <w:pStyle w:val="Corpodetexto"/>
        <w:spacing w:before="101"/>
        <w:ind w:left="112"/>
        <w:rPr>
          <w:rFonts w:ascii="Carlito" w:hAnsi="Carlito" w:cs="Carlito"/>
          <w:b/>
          <w:sz w:val="24"/>
          <w:szCs w:val="24"/>
        </w:rPr>
      </w:pPr>
      <w:bookmarkStart w:id="0" w:name="_GoBack"/>
      <w:r w:rsidRPr="00227A57">
        <w:rPr>
          <w:rFonts w:ascii="Carlito" w:hAnsi="Carlito" w:cs="Carlito"/>
          <w:b/>
          <w:sz w:val="24"/>
          <w:szCs w:val="24"/>
        </w:rPr>
        <w:t>Resolução</w:t>
      </w:r>
      <w:r w:rsidRPr="00227A57">
        <w:rPr>
          <w:rFonts w:ascii="Carlito" w:hAnsi="Carlito" w:cs="Carlito"/>
          <w:b/>
          <w:spacing w:val="-3"/>
          <w:sz w:val="24"/>
          <w:szCs w:val="24"/>
        </w:rPr>
        <w:t xml:space="preserve"> </w:t>
      </w:r>
      <w:r w:rsidRPr="00227A57">
        <w:rPr>
          <w:rFonts w:ascii="Carlito" w:hAnsi="Carlito" w:cs="Carlito"/>
          <w:b/>
          <w:sz w:val="24"/>
          <w:szCs w:val="24"/>
        </w:rPr>
        <w:t>nº</w:t>
      </w:r>
      <w:r w:rsidRPr="00227A57">
        <w:rPr>
          <w:rFonts w:ascii="Carlito" w:hAnsi="Carlito" w:cs="Carlito"/>
          <w:b/>
          <w:spacing w:val="-3"/>
          <w:sz w:val="24"/>
          <w:szCs w:val="24"/>
        </w:rPr>
        <w:t xml:space="preserve"> </w:t>
      </w:r>
      <w:r w:rsidRPr="00227A57">
        <w:rPr>
          <w:rFonts w:ascii="Carlito" w:hAnsi="Carlito" w:cs="Carlito"/>
          <w:b/>
          <w:sz w:val="24"/>
          <w:szCs w:val="24"/>
        </w:rPr>
        <w:t>01/202</w:t>
      </w:r>
      <w:r w:rsidRPr="00227A57">
        <w:rPr>
          <w:rFonts w:ascii="Carlito" w:hAnsi="Carlito" w:cs="Carlito"/>
          <w:b/>
          <w:sz w:val="24"/>
          <w:szCs w:val="24"/>
        </w:rPr>
        <w:t>5</w:t>
      </w:r>
    </w:p>
    <w:bookmarkEnd w:id="0"/>
    <w:p w14:paraId="514A46AE" w14:textId="77777777" w:rsidR="00EC18F9" w:rsidRPr="00EC18F9" w:rsidRDefault="00EC18F9">
      <w:pPr>
        <w:jc w:val="center"/>
        <w:rPr>
          <w:rFonts w:ascii="Carlito" w:hAnsi="Carlito" w:cs="Carlito"/>
          <w:sz w:val="24"/>
          <w:szCs w:val="24"/>
        </w:rPr>
      </w:pPr>
    </w:p>
    <w:p w14:paraId="2C704C16" w14:textId="0E2FEB23" w:rsidR="00EC18F9" w:rsidRPr="00EC18F9" w:rsidRDefault="00EC18F9" w:rsidP="00EC18F9">
      <w:pPr>
        <w:pStyle w:val="Corpodetexto"/>
        <w:spacing w:before="101"/>
        <w:ind w:left="4111"/>
        <w:jc w:val="both"/>
        <w:rPr>
          <w:rFonts w:ascii="Carlito" w:hAnsi="Carlito" w:cs="Carlito"/>
          <w:b/>
          <w:bCs/>
          <w:sz w:val="24"/>
          <w:szCs w:val="24"/>
        </w:rPr>
      </w:pPr>
      <w:r w:rsidRPr="00EC18F9">
        <w:rPr>
          <w:rFonts w:ascii="Carlito" w:hAnsi="Carlito" w:cs="Carlito"/>
          <w:sz w:val="24"/>
          <w:szCs w:val="24"/>
        </w:rPr>
        <w:t>Regulamenta</w:t>
      </w:r>
      <w:r w:rsidRPr="00EC18F9">
        <w:rPr>
          <w:rFonts w:ascii="Carlito" w:hAnsi="Carlito" w:cs="Carlito"/>
          <w:spacing w:val="1"/>
          <w:sz w:val="24"/>
          <w:szCs w:val="24"/>
        </w:rPr>
        <w:t xml:space="preserve"> </w:t>
      </w:r>
      <w:r w:rsidRPr="00EC18F9">
        <w:rPr>
          <w:rFonts w:ascii="Carlito" w:hAnsi="Carlito" w:cs="Carlito"/>
          <w:sz w:val="24"/>
          <w:szCs w:val="24"/>
        </w:rPr>
        <w:t>a</w:t>
      </w:r>
      <w:r w:rsidRPr="00EC18F9">
        <w:rPr>
          <w:rFonts w:ascii="Carlito" w:hAnsi="Carlito" w:cs="Carlito"/>
          <w:spacing w:val="1"/>
          <w:sz w:val="24"/>
          <w:szCs w:val="24"/>
        </w:rPr>
        <w:t xml:space="preserve"> </w:t>
      </w:r>
      <w:r w:rsidRPr="00EC18F9">
        <w:rPr>
          <w:rFonts w:ascii="Carlito" w:hAnsi="Carlito" w:cs="Carlito"/>
          <w:sz w:val="24"/>
          <w:szCs w:val="24"/>
        </w:rPr>
        <w:t>entrega de trabalhos de conclusão de curso de graduação do Centro de Ciências Agrárias na Biblioteca Setorial</w:t>
      </w:r>
      <w:r w:rsidRPr="00EC18F9">
        <w:rPr>
          <w:rFonts w:ascii="Carlito" w:hAnsi="Carlito" w:cs="Carlito"/>
          <w:b/>
          <w:bCs/>
          <w:sz w:val="24"/>
          <w:szCs w:val="24"/>
        </w:rPr>
        <w:t>.</w:t>
      </w:r>
    </w:p>
    <w:p w14:paraId="6B23C5F3" w14:textId="77777777" w:rsidR="00EC18F9" w:rsidRPr="00EC18F9" w:rsidRDefault="00EC18F9" w:rsidP="00EC18F9">
      <w:pPr>
        <w:pStyle w:val="Corpodetexto"/>
        <w:spacing w:before="101"/>
        <w:ind w:left="3540"/>
        <w:jc w:val="both"/>
        <w:rPr>
          <w:rFonts w:ascii="Carlito" w:hAnsi="Carlito" w:cs="Carlito"/>
          <w:sz w:val="24"/>
          <w:szCs w:val="24"/>
        </w:rPr>
      </w:pPr>
    </w:p>
    <w:p w14:paraId="684D4B5D" w14:textId="77777777" w:rsidR="00EC18F9" w:rsidRPr="00EC18F9" w:rsidRDefault="00EC18F9">
      <w:pPr>
        <w:jc w:val="center"/>
        <w:rPr>
          <w:rFonts w:ascii="Carlito" w:hAnsi="Carlito" w:cs="Carlito"/>
          <w:sz w:val="24"/>
          <w:szCs w:val="24"/>
        </w:rPr>
      </w:pPr>
    </w:p>
    <w:p w14:paraId="30657CCE" w14:textId="219D10CB" w:rsidR="00EC18F9" w:rsidRPr="00EC18F9" w:rsidRDefault="00EC18F9" w:rsidP="00EC18F9">
      <w:pPr>
        <w:pStyle w:val="Corpodetexto"/>
        <w:spacing w:before="101"/>
        <w:ind w:right="108"/>
        <w:jc w:val="both"/>
        <w:rPr>
          <w:rFonts w:ascii="Carlito" w:hAnsi="Carlito" w:cs="Carlito"/>
          <w:sz w:val="24"/>
          <w:szCs w:val="24"/>
        </w:rPr>
      </w:pPr>
      <w:r w:rsidRPr="00EC18F9">
        <w:rPr>
          <w:rFonts w:ascii="Carlito" w:hAnsi="Carlito" w:cs="Carlito"/>
          <w:sz w:val="24"/>
          <w:szCs w:val="24"/>
        </w:rPr>
        <w:t>O CONSELHO DE CENTRO do Centro de Ciências Agrárias, da Universidade Federal da</w:t>
      </w:r>
      <w:r w:rsidRPr="00EC18F9">
        <w:rPr>
          <w:rFonts w:ascii="Carlito" w:hAnsi="Carlito" w:cs="Carlito"/>
          <w:spacing w:val="1"/>
          <w:sz w:val="24"/>
          <w:szCs w:val="24"/>
        </w:rPr>
        <w:t xml:space="preserve"> </w:t>
      </w:r>
      <w:r w:rsidRPr="00EC18F9">
        <w:rPr>
          <w:rFonts w:ascii="Carlito" w:hAnsi="Carlito" w:cs="Carlito"/>
          <w:sz w:val="24"/>
          <w:szCs w:val="24"/>
        </w:rPr>
        <w:t>Paraíba, no uso de suas atribuições e de conformidade com a legislação em vigor, tendo em vista</w:t>
      </w:r>
      <w:r w:rsidRPr="00EC18F9">
        <w:rPr>
          <w:rFonts w:ascii="Carlito" w:hAnsi="Carlito" w:cs="Carlito"/>
          <w:spacing w:val="1"/>
          <w:sz w:val="24"/>
          <w:szCs w:val="24"/>
        </w:rPr>
        <w:t xml:space="preserve"> </w:t>
      </w:r>
      <w:r w:rsidRPr="00EC18F9">
        <w:rPr>
          <w:rFonts w:ascii="Carlito" w:hAnsi="Carlito" w:cs="Carlito"/>
          <w:sz w:val="24"/>
          <w:szCs w:val="24"/>
        </w:rPr>
        <w:t>deliberação</w:t>
      </w:r>
      <w:r w:rsidRPr="00EC18F9">
        <w:rPr>
          <w:rFonts w:ascii="Carlito" w:hAnsi="Carlito" w:cs="Carlito"/>
          <w:spacing w:val="1"/>
          <w:sz w:val="24"/>
          <w:szCs w:val="24"/>
        </w:rPr>
        <w:t xml:space="preserve"> </w:t>
      </w:r>
      <w:r w:rsidRPr="00EC18F9">
        <w:rPr>
          <w:rFonts w:ascii="Carlito" w:hAnsi="Carlito" w:cs="Carlito"/>
          <w:sz w:val="24"/>
          <w:szCs w:val="24"/>
        </w:rPr>
        <w:t>adotada</w:t>
      </w:r>
      <w:r w:rsidRPr="00EC18F9">
        <w:rPr>
          <w:rFonts w:ascii="Carlito" w:hAnsi="Carlito" w:cs="Carlito"/>
          <w:spacing w:val="1"/>
          <w:sz w:val="24"/>
          <w:szCs w:val="24"/>
        </w:rPr>
        <w:t xml:space="preserve"> na </w:t>
      </w:r>
      <w:r w:rsidRPr="00EC18F9">
        <w:rPr>
          <w:rFonts w:ascii="Carlito" w:hAnsi="Carlito" w:cs="Carlito"/>
          <w:sz w:val="24"/>
          <w:szCs w:val="24"/>
        </w:rPr>
        <w:t xml:space="preserve">Segunda </w:t>
      </w:r>
      <w:r w:rsidRPr="00EC18F9">
        <w:rPr>
          <w:rFonts w:ascii="Carlito" w:hAnsi="Carlito" w:cs="Carlito"/>
          <w:spacing w:val="1"/>
          <w:sz w:val="24"/>
          <w:szCs w:val="24"/>
        </w:rPr>
        <w:t xml:space="preserve"> Reunião Ordinaria do COC, realizada no  </w:t>
      </w:r>
      <w:r w:rsidRPr="00EC18F9">
        <w:rPr>
          <w:rFonts w:ascii="Carlito" w:hAnsi="Carlito" w:cs="Carlito"/>
          <w:sz w:val="24"/>
          <w:szCs w:val="24"/>
        </w:rPr>
        <w:t>dia</w:t>
      </w:r>
      <w:r w:rsidRPr="00EC18F9">
        <w:rPr>
          <w:rFonts w:ascii="Carlito" w:hAnsi="Carlito" w:cs="Carlito"/>
          <w:spacing w:val="1"/>
          <w:sz w:val="24"/>
          <w:szCs w:val="24"/>
        </w:rPr>
        <w:t xml:space="preserve"> </w:t>
      </w:r>
      <w:r w:rsidRPr="00EC18F9">
        <w:rPr>
          <w:rFonts w:ascii="Carlito" w:hAnsi="Carlito" w:cs="Carlito"/>
          <w:sz w:val="24"/>
          <w:szCs w:val="24"/>
        </w:rPr>
        <w:t xml:space="preserve"> 2</w:t>
      </w:r>
      <w:r w:rsidRPr="00EC18F9">
        <w:rPr>
          <w:rFonts w:ascii="Carlito" w:hAnsi="Carlito" w:cs="Carlito"/>
          <w:sz w:val="24"/>
          <w:szCs w:val="24"/>
        </w:rPr>
        <w:t>7</w:t>
      </w:r>
      <w:r w:rsidRPr="00EC18F9">
        <w:rPr>
          <w:rFonts w:ascii="Carlito" w:hAnsi="Carlito" w:cs="Carlito"/>
          <w:spacing w:val="1"/>
          <w:sz w:val="24"/>
          <w:szCs w:val="24"/>
        </w:rPr>
        <w:t xml:space="preserve"> </w:t>
      </w:r>
      <w:r w:rsidRPr="00EC18F9">
        <w:rPr>
          <w:rFonts w:ascii="Carlito" w:hAnsi="Carlito" w:cs="Carlito"/>
          <w:sz w:val="24"/>
          <w:szCs w:val="24"/>
        </w:rPr>
        <w:t>de</w:t>
      </w:r>
      <w:r w:rsidRPr="00EC18F9">
        <w:rPr>
          <w:rFonts w:ascii="Carlito" w:hAnsi="Carlito" w:cs="Carlito"/>
          <w:spacing w:val="1"/>
          <w:sz w:val="24"/>
          <w:szCs w:val="24"/>
        </w:rPr>
        <w:t xml:space="preserve"> </w:t>
      </w:r>
      <w:r w:rsidRPr="00EC18F9">
        <w:rPr>
          <w:rFonts w:ascii="Carlito" w:hAnsi="Carlito" w:cs="Carlito"/>
          <w:sz w:val="24"/>
          <w:szCs w:val="24"/>
        </w:rPr>
        <w:t>março</w:t>
      </w:r>
      <w:r w:rsidRPr="00EC18F9">
        <w:rPr>
          <w:rFonts w:ascii="Carlito" w:hAnsi="Carlito" w:cs="Carlito"/>
          <w:spacing w:val="1"/>
          <w:sz w:val="24"/>
          <w:szCs w:val="24"/>
        </w:rPr>
        <w:t xml:space="preserve"> </w:t>
      </w:r>
      <w:r w:rsidRPr="00EC18F9">
        <w:rPr>
          <w:rFonts w:ascii="Carlito" w:hAnsi="Carlito" w:cs="Carlito"/>
          <w:sz w:val="24"/>
          <w:szCs w:val="24"/>
        </w:rPr>
        <w:t>de</w:t>
      </w:r>
      <w:r w:rsidRPr="00EC18F9">
        <w:rPr>
          <w:rFonts w:ascii="Carlito" w:hAnsi="Carlito" w:cs="Carlito"/>
          <w:spacing w:val="1"/>
          <w:sz w:val="24"/>
          <w:szCs w:val="24"/>
        </w:rPr>
        <w:t xml:space="preserve"> </w:t>
      </w:r>
      <w:r w:rsidRPr="00EC18F9">
        <w:rPr>
          <w:rFonts w:ascii="Carlito" w:hAnsi="Carlito" w:cs="Carlito"/>
          <w:sz w:val="24"/>
          <w:szCs w:val="24"/>
        </w:rPr>
        <w:t>202</w:t>
      </w:r>
      <w:r w:rsidRPr="00EC18F9">
        <w:rPr>
          <w:rFonts w:ascii="Carlito" w:hAnsi="Carlito" w:cs="Carlito"/>
          <w:sz w:val="24"/>
          <w:szCs w:val="24"/>
        </w:rPr>
        <w:t>5</w:t>
      </w:r>
      <w:r w:rsidRPr="00EC18F9">
        <w:rPr>
          <w:rFonts w:ascii="Carlito" w:hAnsi="Carlito" w:cs="Carlito"/>
          <w:spacing w:val="1"/>
          <w:sz w:val="24"/>
          <w:szCs w:val="24"/>
        </w:rPr>
        <w:t xml:space="preserve"> </w:t>
      </w:r>
      <w:r w:rsidRPr="00EC18F9">
        <w:rPr>
          <w:rFonts w:ascii="Carlito" w:hAnsi="Carlito" w:cs="Carlito"/>
          <w:sz w:val="24"/>
          <w:szCs w:val="24"/>
        </w:rPr>
        <w:t>(Processo</w:t>
      </w:r>
      <w:r w:rsidRPr="00EC18F9">
        <w:rPr>
          <w:rFonts w:ascii="Carlito" w:hAnsi="Carlito" w:cs="Carlito"/>
          <w:spacing w:val="1"/>
          <w:sz w:val="24"/>
          <w:szCs w:val="24"/>
        </w:rPr>
        <w:t xml:space="preserve"> </w:t>
      </w:r>
      <w:r w:rsidRPr="00EC18F9">
        <w:rPr>
          <w:rFonts w:ascii="Carlito" w:hAnsi="Carlito" w:cs="Carlito"/>
          <w:sz w:val="24"/>
          <w:szCs w:val="24"/>
        </w:rPr>
        <w:t>nº</w:t>
      </w:r>
      <w:r w:rsidRPr="00EC18F9">
        <w:rPr>
          <w:rFonts w:ascii="Carlito" w:hAnsi="Carlito" w:cs="Carlito"/>
          <w:spacing w:val="1"/>
          <w:sz w:val="24"/>
          <w:szCs w:val="24"/>
        </w:rPr>
        <w:t xml:space="preserve"> </w:t>
      </w:r>
      <w:r w:rsidRPr="00EC18F9">
        <w:rPr>
          <w:rFonts w:ascii="Carlito" w:hAnsi="Carlito" w:cs="Carlito"/>
          <w:sz w:val="24"/>
          <w:szCs w:val="24"/>
        </w:rPr>
        <w:t>23074.017460/2025-55),</w:t>
      </w:r>
    </w:p>
    <w:p w14:paraId="00000003" w14:textId="77777777" w:rsidR="00F273B2" w:rsidRPr="00EC18F9" w:rsidRDefault="00F273B2">
      <w:pPr>
        <w:jc w:val="center"/>
        <w:rPr>
          <w:rFonts w:ascii="Carlito" w:hAnsi="Carlito" w:cs="Carlito"/>
          <w:sz w:val="24"/>
          <w:szCs w:val="24"/>
        </w:rPr>
      </w:pPr>
    </w:p>
    <w:p w14:paraId="00000004" w14:textId="2199F5D1" w:rsidR="00F273B2" w:rsidRPr="00EC18F9" w:rsidRDefault="000374D7">
      <w:pPr>
        <w:jc w:val="both"/>
        <w:rPr>
          <w:rFonts w:ascii="Carlito" w:hAnsi="Carlito" w:cs="Carlito"/>
          <w:sz w:val="24"/>
          <w:szCs w:val="24"/>
        </w:rPr>
      </w:pPr>
      <w:r w:rsidRPr="00EC18F9">
        <w:rPr>
          <w:rFonts w:ascii="Carlito" w:hAnsi="Carlito" w:cs="Carlito"/>
          <w:sz w:val="24"/>
          <w:szCs w:val="24"/>
        </w:rPr>
        <w:t>CONSIDERANDO que:</w:t>
      </w:r>
    </w:p>
    <w:p w14:paraId="00000005" w14:textId="77777777" w:rsidR="00F273B2" w:rsidRPr="00EC18F9" w:rsidRDefault="00F273B2">
      <w:pPr>
        <w:jc w:val="both"/>
        <w:rPr>
          <w:rFonts w:ascii="Carlito" w:hAnsi="Carlito" w:cs="Carlito"/>
          <w:sz w:val="24"/>
          <w:szCs w:val="24"/>
        </w:rPr>
      </w:pPr>
    </w:p>
    <w:p w14:paraId="00000006" w14:textId="77777777" w:rsidR="00F273B2" w:rsidRPr="00EC18F9" w:rsidRDefault="000374D7">
      <w:pPr>
        <w:numPr>
          <w:ilvl w:val="0"/>
          <w:numId w:val="1"/>
        </w:numPr>
        <w:jc w:val="both"/>
        <w:rPr>
          <w:rFonts w:ascii="Carlito" w:hAnsi="Carlito" w:cs="Carlito"/>
          <w:sz w:val="24"/>
          <w:szCs w:val="24"/>
        </w:rPr>
      </w:pPr>
      <w:r w:rsidRPr="00EC18F9">
        <w:rPr>
          <w:rFonts w:ascii="Carlito" w:hAnsi="Carlito" w:cs="Carlito"/>
          <w:sz w:val="24"/>
          <w:szCs w:val="24"/>
        </w:rPr>
        <w:t>a Biblioteca Setorial recebe por semestre grande número de produções acadêmicas de graduação defendidas por discentes deste C</w:t>
      </w:r>
      <w:r w:rsidRPr="00EC18F9">
        <w:rPr>
          <w:rFonts w:ascii="Carlito" w:hAnsi="Carlito" w:cs="Carlito"/>
          <w:sz w:val="24"/>
          <w:szCs w:val="24"/>
        </w:rPr>
        <w:t>entro de Ensino;</w:t>
      </w:r>
    </w:p>
    <w:p w14:paraId="00000007" w14:textId="77777777" w:rsidR="00F273B2" w:rsidRPr="00EC18F9" w:rsidRDefault="000374D7">
      <w:pPr>
        <w:numPr>
          <w:ilvl w:val="0"/>
          <w:numId w:val="1"/>
        </w:numPr>
        <w:jc w:val="both"/>
        <w:rPr>
          <w:rFonts w:ascii="Carlito" w:hAnsi="Carlito" w:cs="Carlito"/>
          <w:sz w:val="24"/>
          <w:szCs w:val="24"/>
        </w:rPr>
      </w:pPr>
      <w:r w:rsidRPr="00EC18F9">
        <w:rPr>
          <w:rFonts w:ascii="Carlito" w:hAnsi="Carlito" w:cs="Carlito"/>
          <w:sz w:val="24"/>
          <w:szCs w:val="24"/>
        </w:rPr>
        <w:t>a racionalização do espaço físico para guarda de mídias digitais;</w:t>
      </w:r>
    </w:p>
    <w:p w14:paraId="00000008" w14:textId="77777777" w:rsidR="00F273B2" w:rsidRPr="00EC18F9" w:rsidRDefault="000374D7">
      <w:pPr>
        <w:numPr>
          <w:ilvl w:val="0"/>
          <w:numId w:val="1"/>
        </w:numPr>
        <w:jc w:val="both"/>
        <w:rPr>
          <w:rFonts w:ascii="Carlito" w:hAnsi="Carlito" w:cs="Carlito"/>
          <w:sz w:val="24"/>
          <w:szCs w:val="24"/>
        </w:rPr>
      </w:pPr>
      <w:r w:rsidRPr="00EC18F9">
        <w:rPr>
          <w:rFonts w:ascii="Carlito" w:hAnsi="Carlito" w:cs="Carlito"/>
          <w:sz w:val="24"/>
          <w:szCs w:val="24"/>
        </w:rPr>
        <w:t>a obsolescência do suporte CD para guarda de produções acadêmicas;</w:t>
      </w:r>
    </w:p>
    <w:p w14:paraId="00000009" w14:textId="77777777" w:rsidR="00F273B2" w:rsidRPr="00EC18F9" w:rsidRDefault="000374D7">
      <w:pPr>
        <w:numPr>
          <w:ilvl w:val="0"/>
          <w:numId w:val="1"/>
        </w:numPr>
        <w:jc w:val="both"/>
        <w:rPr>
          <w:rFonts w:ascii="Carlito" w:hAnsi="Carlito" w:cs="Carlito"/>
          <w:sz w:val="24"/>
          <w:szCs w:val="24"/>
        </w:rPr>
      </w:pPr>
      <w:r w:rsidRPr="00EC18F9">
        <w:rPr>
          <w:rFonts w:ascii="Carlito" w:hAnsi="Carlito" w:cs="Carlito"/>
          <w:sz w:val="24"/>
          <w:szCs w:val="24"/>
        </w:rPr>
        <w:t>os Trabalhos de Conclusão de Curso da Pós-Graduação já são recebidos pelo auto depósito diretamente atravé</w:t>
      </w:r>
      <w:r w:rsidRPr="00EC18F9">
        <w:rPr>
          <w:rFonts w:ascii="Carlito" w:hAnsi="Carlito" w:cs="Carlito"/>
          <w:sz w:val="24"/>
          <w:szCs w:val="24"/>
        </w:rPr>
        <w:t>s do Sistema Acadêmico;</w:t>
      </w:r>
    </w:p>
    <w:p w14:paraId="0000000A" w14:textId="77777777" w:rsidR="00F273B2" w:rsidRPr="00EC18F9" w:rsidRDefault="000374D7">
      <w:pPr>
        <w:numPr>
          <w:ilvl w:val="0"/>
          <w:numId w:val="1"/>
        </w:numPr>
        <w:jc w:val="both"/>
        <w:rPr>
          <w:rFonts w:ascii="Carlito" w:hAnsi="Carlito" w:cs="Carlito"/>
          <w:sz w:val="24"/>
          <w:szCs w:val="24"/>
        </w:rPr>
      </w:pPr>
      <w:r w:rsidRPr="00EC18F9">
        <w:rPr>
          <w:rFonts w:ascii="Carlito" w:hAnsi="Carlito" w:cs="Carlito"/>
          <w:sz w:val="24"/>
          <w:szCs w:val="24"/>
        </w:rPr>
        <w:t>a necessidade de padronizar o depósito de Trabalhos de Conclusão de Curso em meio virtual.</w:t>
      </w:r>
    </w:p>
    <w:p w14:paraId="0000000B" w14:textId="77777777" w:rsidR="00F273B2" w:rsidRPr="00EC18F9" w:rsidRDefault="00F273B2">
      <w:pPr>
        <w:jc w:val="both"/>
        <w:rPr>
          <w:rFonts w:ascii="Carlito" w:hAnsi="Carlito" w:cs="Carlito"/>
          <w:sz w:val="24"/>
          <w:szCs w:val="24"/>
        </w:rPr>
      </w:pPr>
    </w:p>
    <w:p w14:paraId="0000000C" w14:textId="77777777" w:rsidR="00F273B2" w:rsidRPr="00EC18F9" w:rsidRDefault="000374D7">
      <w:pPr>
        <w:jc w:val="both"/>
        <w:rPr>
          <w:rFonts w:ascii="Carlito" w:hAnsi="Carlito" w:cs="Carlito"/>
          <w:sz w:val="24"/>
          <w:szCs w:val="24"/>
        </w:rPr>
      </w:pPr>
      <w:r w:rsidRPr="00EC18F9">
        <w:rPr>
          <w:rFonts w:ascii="Carlito" w:hAnsi="Carlito" w:cs="Carlito"/>
          <w:sz w:val="24"/>
          <w:szCs w:val="24"/>
        </w:rPr>
        <w:t>RESOLVE:</w:t>
      </w:r>
    </w:p>
    <w:p w14:paraId="0000000D" w14:textId="77777777" w:rsidR="00F273B2" w:rsidRPr="00EC18F9" w:rsidRDefault="00F273B2">
      <w:pPr>
        <w:jc w:val="both"/>
        <w:rPr>
          <w:rFonts w:ascii="Carlito" w:hAnsi="Carlito" w:cs="Carlito"/>
          <w:sz w:val="24"/>
          <w:szCs w:val="24"/>
        </w:rPr>
      </w:pPr>
    </w:p>
    <w:p w14:paraId="0000000E" w14:textId="77777777" w:rsidR="00F273B2" w:rsidRPr="00EC18F9" w:rsidRDefault="000374D7">
      <w:pPr>
        <w:jc w:val="both"/>
        <w:rPr>
          <w:rFonts w:ascii="Carlito" w:hAnsi="Carlito" w:cs="Carlito"/>
          <w:sz w:val="24"/>
          <w:szCs w:val="24"/>
        </w:rPr>
      </w:pPr>
      <w:r w:rsidRPr="00EC18F9">
        <w:rPr>
          <w:rFonts w:ascii="Carlito" w:hAnsi="Carlito" w:cs="Carlito"/>
          <w:sz w:val="24"/>
          <w:szCs w:val="24"/>
        </w:rPr>
        <w:t>Art. 1º. Estabelecer o recebimento dos Trabalhos de Conclusão de Curso (TCC) de graduação em meio virtual, de forma a otimizar</w:t>
      </w:r>
      <w:r w:rsidRPr="00EC18F9">
        <w:rPr>
          <w:rFonts w:ascii="Carlito" w:hAnsi="Carlito" w:cs="Carlito"/>
          <w:sz w:val="24"/>
          <w:szCs w:val="24"/>
          <w:highlight w:val="white"/>
        </w:rPr>
        <w:t xml:space="preserve"> o t</w:t>
      </w:r>
      <w:r w:rsidRPr="00EC18F9">
        <w:rPr>
          <w:rFonts w:ascii="Carlito" w:hAnsi="Carlito" w:cs="Carlito"/>
          <w:sz w:val="24"/>
          <w:szCs w:val="24"/>
          <w:highlight w:val="white"/>
        </w:rPr>
        <w:t>ratamento técnico,</w:t>
      </w:r>
      <w:r w:rsidRPr="00EC18F9">
        <w:rPr>
          <w:rFonts w:ascii="Carlito" w:hAnsi="Carlito" w:cs="Carlito"/>
          <w:sz w:val="24"/>
          <w:szCs w:val="24"/>
        </w:rPr>
        <w:t xml:space="preserve"> a pesquisa e recuperação da informação em tempo real.</w:t>
      </w:r>
    </w:p>
    <w:p w14:paraId="0000000F" w14:textId="77777777" w:rsidR="00F273B2" w:rsidRPr="00EC18F9" w:rsidRDefault="00F273B2">
      <w:pPr>
        <w:jc w:val="both"/>
        <w:rPr>
          <w:rFonts w:ascii="Carlito" w:hAnsi="Carlito" w:cs="Carlito"/>
          <w:sz w:val="24"/>
          <w:szCs w:val="24"/>
        </w:rPr>
      </w:pPr>
    </w:p>
    <w:p w14:paraId="00000010" w14:textId="77777777" w:rsidR="00F273B2" w:rsidRPr="00EC18F9" w:rsidRDefault="000374D7">
      <w:pPr>
        <w:jc w:val="both"/>
        <w:rPr>
          <w:rFonts w:ascii="Carlito" w:hAnsi="Carlito" w:cs="Carlito"/>
          <w:sz w:val="24"/>
          <w:szCs w:val="24"/>
        </w:rPr>
      </w:pPr>
      <w:r w:rsidRPr="00EC18F9">
        <w:rPr>
          <w:rFonts w:ascii="Carlito" w:hAnsi="Carlito" w:cs="Carlito"/>
          <w:sz w:val="24"/>
          <w:szCs w:val="24"/>
        </w:rPr>
        <w:t>Parágrafo único: O Trabalho de Conclusão de Curso (TCC) no âmbito do CCA/UFPB poderá ser desenvolvido nos formatos de Estágio Supervisionado Obrigatório, Artigo Científico, Estudo de</w:t>
      </w:r>
      <w:r w:rsidRPr="00EC18F9">
        <w:rPr>
          <w:rFonts w:ascii="Carlito" w:hAnsi="Carlito" w:cs="Carlito"/>
          <w:sz w:val="24"/>
          <w:szCs w:val="24"/>
        </w:rPr>
        <w:t xml:space="preserve"> Caso, Monografia ou outro tipo de produção acadêmica, desde que regulamentado por resolução interna da respectiva Coordenação de Curso de Graduação. Ressalta-se que a Biblioteca Setorial do CCA não possui atribuição para normatizar o formato de recebiment</w:t>
      </w:r>
      <w:r w:rsidRPr="00EC18F9">
        <w:rPr>
          <w:rFonts w:ascii="Carlito" w:hAnsi="Carlito" w:cs="Carlito"/>
          <w:sz w:val="24"/>
          <w:szCs w:val="24"/>
        </w:rPr>
        <w:t xml:space="preserve">o </w:t>
      </w:r>
      <w:r w:rsidRPr="00EC18F9">
        <w:rPr>
          <w:rFonts w:ascii="Carlito" w:hAnsi="Carlito" w:cs="Carlito"/>
          <w:sz w:val="24"/>
          <w:szCs w:val="24"/>
        </w:rPr>
        <w:lastRenderedPageBreak/>
        <w:t xml:space="preserve">dos </w:t>
      </w:r>
      <w:proofErr w:type="spellStart"/>
      <w:r w:rsidRPr="00EC18F9">
        <w:rPr>
          <w:rFonts w:ascii="Carlito" w:hAnsi="Carlito" w:cs="Carlito"/>
          <w:sz w:val="24"/>
          <w:szCs w:val="24"/>
        </w:rPr>
        <w:t>TCCs</w:t>
      </w:r>
      <w:proofErr w:type="spellEnd"/>
      <w:r w:rsidRPr="00EC18F9">
        <w:rPr>
          <w:rFonts w:ascii="Carlito" w:hAnsi="Carlito" w:cs="Carlito"/>
          <w:sz w:val="24"/>
          <w:szCs w:val="24"/>
        </w:rPr>
        <w:t>, cabendo-lhe apenas a definição e orientação dos procedimentos para o depósito e arquivamento dos referidos trabalhos.</w:t>
      </w:r>
    </w:p>
    <w:p w14:paraId="00000011" w14:textId="77777777" w:rsidR="00F273B2" w:rsidRPr="00EC18F9" w:rsidRDefault="00F273B2">
      <w:pPr>
        <w:jc w:val="both"/>
        <w:rPr>
          <w:rFonts w:ascii="Carlito" w:hAnsi="Carlito" w:cs="Carlito"/>
          <w:sz w:val="24"/>
          <w:szCs w:val="24"/>
        </w:rPr>
      </w:pPr>
    </w:p>
    <w:p w14:paraId="00000012" w14:textId="77777777" w:rsidR="00F273B2" w:rsidRPr="00EC18F9" w:rsidRDefault="000374D7">
      <w:pPr>
        <w:jc w:val="both"/>
        <w:rPr>
          <w:rFonts w:ascii="Carlito" w:hAnsi="Carlito" w:cs="Carlito"/>
          <w:sz w:val="24"/>
          <w:szCs w:val="24"/>
        </w:rPr>
      </w:pPr>
      <w:r w:rsidRPr="00EC18F9">
        <w:rPr>
          <w:rFonts w:ascii="Carlito" w:hAnsi="Carlito" w:cs="Carlito"/>
          <w:sz w:val="24"/>
          <w:szCs w:val="24"/>
        </w:rPr>
        <w:t>Art. 2º. As diretrizes para recebimento em meio virtual dos Trabalhos de Conclusão de Curso dos discentes vinculados ao Centr</w:t>
      </w:r>
      <w:r w:rsidRPr="00EC18F9">
        <w:rPr>
          <w:rFonts w:ascii="Carlito" w:hAnsi="Carlito" w:cs="Carlito"/>
          <w:sz w:val="24"/>
          <w:szCs w:val="24"/>
        </w:rPr>
        <w:t>o de Ciências Agrárias seguirão as seguintes instruções:</w:t>
      </w:r>
    </w:p>
    <w:p w14:paraId="00000013" w14:textId="77777777" w:rsidR="00F273B2" w:rsidRPr="00EC18F9" w:rsidRDefault="000374D7">
      <w:pPr>
        <w:numPr>
          <w:ilvl w:val="0"/>
          <w:numId w:val="2"/>
        </w:numPr>
        <w:jc w:val="both"/>
        <w:rPr>
          <w:rFonts w:ascii="Carlito" w:hAnsi="Carlito" w:cs="Carlito"/>
          <w:sz w:val="24"/>
          <w:szCs w:val="24"/>
        </w:rPr>
      </w:pPr>
      <w:r w:rsidRPr="00EC18F9">
        <w:rPr>
          <w:rFonts w:ascii="Carlito" w:hAnsi="Carlito" w:cs="Carlito"/>
          <w:sz w:val="24"/>
          <w:szCs w:val="24"/>
        </w:rPr>
        <w:t>após aprovação pela banca examinadora, com o trabalho na versão final, feita as devidas correções sugeridas pela banca, o discente deverá fazer a solicitação da ficha catalográfica através do seguint</w:t>
      </w:r>
      <w:r w:rsidRPr="00EC18F9">
        <w:rPr>
          <w:rFonts w:ascii="Carlito" w:hAnsi="Carlito" w:cs="Carlito"/>
          <w:sz w:val="24"/>
          <w:szCs w:val="24"/>
        </w:rPr>
        <w:t>e caminho: SIGAA -&gt; Aba Biblioteca -&gt; Ficha Catalográfica -&gt; Solicitar Ficha Catalográfica;</w:t>
      </w:r>
    </w:p>
    <w:p w14:paraId="00000014" w14:textId="77777777" w:rsidR="00F273B2" w:rsidRPr="00EC18F9" w:rsidRDefault="000374D7">
      <w:pPr>
        <w:numPr>
          <w:ilvl w:val="0"/>
          <w:numId w:val="2"/>
        </w:numPr>
        <w:jc w:val="both"/>
        <w:rPr>
          <w:rFonts w:ascii="Carlito" w:hAnsi="Carlito" w:cs="Carlito"/>
          <w:sz w:val="24"/>
          <w:szCs w:val="24"/>
        </w:rPr>
      </w:pPr>
      <w:r w:rsidRPr="00EC18F9">
        <w:rPr>
          <w:rFonts w:ascii="Carlito" w:hAnsi="Carlito" w:cs="Carlito"/>
          <w:sz w:val="24"/>
          <w:szCs w:val="24"/>
        </w:rPr>
        <w:t>Para solicitar a ficha catalográfica, o discente precisa estar com o cadastro ativo na Biblioteca;</w:t>
      </w:r>
    </w:p>
    <w:p w14:paraId="00000015" w14:textId="77777777" w:rsidR="00F273B2" w:rsidRPr="00EC18F9" w:rsidRDefault="000374D7">
      <w:pPr>
        <w:numPr>
          <w:ilvl w:val="0"/>
          <w:numId w:val="2"/>
        </w:numPr>
        <w:jc w:val="both"/>
        <w:rPr>
          <w:rFonts w:ascii="Carlito" w:hAnsi="Carlito" w:cs="Carlito"/>
          <w:sz w:val="24"/>
          <w:szCs w:val="24"/>
        </w:rPr>
      </w:pPr>
      <w:r w:rsidRPr="00EC18F9">
        <w:rPr>
          <w:rFonts w:ascii="Carlito" w:hAnsi="Carlito" w:cs="Carlito"/>
          <w:sz w:val="24"/>
          <w:szCs w:val="24"/>
        </w:rPr>
        <w:t>o trabalho deverá estar de acordo com o Manual para Elaboração de</w:t>
      </w:r>
      <w:r w:rsidRPr="00EC18F9">
        <w:rPr>
          <w:rFonts w:ascii="Carlito" w:hAnsi="Carlito" w:cs="Carlito"/>
          <w:sz w:val="24"/>
          <w:szCs w:val="24"/>
        </w:rPr>
        <w:t xml:space="preserve"> Trabalhos Acadêmicos de Graduação do Centro de Ciências Agrárias, baseado nas Normas Brasileiras (NBR) da Associação Brasileira de Normas Técnicas (ABNT) vigentes;</w:t>
      </w:r>
    </w:p>
    <w:p w14:paraId="00000016" w14:textId="77777777" w:rsidR="00F273B2" w:rsidRPr="00EC18F9" w:rsidRDefault="000374D7">
      <w:pPr>
        <w:numPr>
          <w:ilvl w:val="0"/>
          <w:numId w:val="2"/>
        </w:numPr>
        <w:jc w:val="both"/>
        <w:rPr>
          <w:rFonts w:ascii="Carlito" w:hAnsi="Carlito" w:cs="Carlito"/>
          <w:sz w:val="24"/>
          <w:szCs w:val="24"/>
        </w:rPr>
      </w:pPr>
      <w:r w:rsidRPr="00EC18F9">
        <w:rPr>
          <w:rFonts w:ascii="Carlito" w:hAnsi="Carlito" w:cs="Carlito"/>
          <w:sz w:val="24"/>
          <w:szCs w:val="24"/>
        </w:rPr>
        <w:t>a folha de aprovação do TCC deverá estar assinada pelos membros da Banca;</w:t>
      </w:r>
    </w:p>
    <w:p w14:paraId="00000017" w14:textId="77777777" w:rsidR="00F273B2" w:rsidRPr="00EC18F9" w:rsidRDefault="000374D7">
      <w:pPr>
        <w:numPr>
          <w:ilvl w:val="0"/>
          <w:numId w:val="2"/>
        </w:numPr>
        <w:jc w:val="both"/>
        <w:rPr>
          <w:rFonts w:ascii="Carlito" w:hAnsi="Carlito" w:cs="Carlito"/>
          <w:sz w:val="24"/>
          <w:szCs w:val="24"/>
        </w:rPr>
      </w:pPr>
      <w:r w:rsidRPr="00EC18F9">
        <w:rPr>
          <w:rFonts w:ascii="Carlito" w:hAnsi="Carlito" w:cs="Carlito"/>
          <w:sz w:val="24"/>
          <w:szCs w:val="24"/>
        </w:rPr>
        <w:t>caso o trabalho n</w:t>
      </w:r>
      <w:r w:rsidRPr="00EC18F9">
        <w:rPr>
          <w:rFonts w:ascii="Carlito" w:hAnsi="Carlito" w:cs="Carlito"/>
          <w:sz w:val="24"/>
          <w:szCs w:val="24"/>
        </w:rPr>
        <w:t xml:space="preserve">ão esteja em conformidade com o Manual, a solicitação da ficha catalográfica será devolvida para os ajustes necessários. Somente após </w:t>
      </w:r>
      <w:r w:rsidRPr="00EC18F9">
        <w:rPr>
          <w:rFonts w:ascii="Carlito" w:hAnsi="Carlito" w:cs="Carlito"/>
          <w:sz w:val="24"/>
          <w:szCs w:val="24"/>
          <w:highlight w:val="white"/>
        </w:rPr>
        <w:t>esse processo de correção,</w:t>
      </w:r>
      <w:r w:rsidRPr="00EC18F9">
        <w:rPr>
          <w:rFonts w:ascii="Carlito" w:hAnsi="Carlito" w:cs="Carlito"/>
          <w:sz w:val="24"/>
          <w:szCs w:val="24"/>
        </w:rPr>
        <w:t xml:space="preserve"> a solicitação será atendida;</w:t>
      </w:r>
    </w:p>
    <w:p w14:paraId="00000018" w14:textId="77777777" w:rsidR="00F273B2" w:rsidRPr="00EC18F9" w:rsidRDefault="000374D7">
      <w:pPr>
        <w:numPr>
          <w:ilvl w:val="0"/>
          <w:numId w:val="2"/>
        </w:numPr>
        <w:jc w:val="both"/>
        <w:rPr>
          <w:rFonts w:ascii="Carlito" w:hAnsi="Carlito" w:cs="Carlito"/>
          <w:sz w:val="24"/>
          <w:szCs w:val="24"/>
        </w:rPr>
      </w:pPr>
      <w:r w:rsidRPr="00EC18F9">
        <w:rPr>
          <w:rFonts w:ascii="Carlito" w:hAnsi="Carlito" w:cs="Carlito"/>
          <w:sz w:val="24"/>
          <w:szCs w:val="24"/>
        </w:rPr>
        <w:t>a validação da Ficha Catalográfica acontece em até 3 (três) dias ú</w:t>
      </w:r>
      <w:r w:rsidRPr="00EC18F9">
        <w:rPr>
          <w:rFonts w:ascii="Carlito" w:hAnsi="Carlito" w:cs="Carlito"/>
          <w:sz w:val="24"/>
          <w:szCs w:val="24"/>
        </w:rPr>
        <w:t>teis.</w:t>
      </w:r>
    </w:p>
    <w:p w14:paraId="00000019" w14:textId="77777777" w:rsidR="00F273B2" w:rsidRPr="00EC18F9" w:rsidRDefault="000374D7">
      <w:pPr>
        <w:numPr>
          <w:ilvl w:val="0"/>
          <w:numId w:val="2"/>
        </w:numPr>
        <w:jc w:val="both"/>
        <w:rPr>
          <w:rFonts w:ascii="Carlito" w:hAnsi="Carlito" w:cs="Carlito"/>
          <w:sz w:val="24"/>
          <w:szCs w:val="24"/>
        </w:rPr>
      </w:pPr>
      <w:r w:rsidRPr="00EC18F9">
        <w:rPr>
          <w:rFonts w:ascii="Carlito" w:hAnsi="Carlito" w:cs="Carlito"/>
          <w:sz w:val="24"/>
          <w:szCs w:val="24"/>
        </w:rPr>
        <w:t xml:space="preserve">após o recebimento da ficha catalográfica o discente deverá </w:t>
      </w:r>
      <w:r w:rsidRPr="00EC18F9">
        <w:rPr>
          <w:rFonts w:ascii="Carlito" w:hAnsi="Carlito" w:cs="Carlito"/>
          <w:sz w:val="24"/>
          <w:szCs w:val="24"/>
          <w:highlight w:val="white"/>
        </w:rPr>
        <w:t xml:space="preserve">inseri-la </w:t>
      </w:r>
      <w:r w:rsidRPr="00EC18F9">
        <w:rPr>
          <w:rFonts w:ascii="Carlito" w:hAnsi="Carlito" w:cs="Carlito"/>
          <w:sz w:val="24"/>
          <w:szCs w:val="24"/>
        </w:rPr>
        <w:t>no trabalho na sequência - Capa, folha de rosto, ficha catalográfica, resumo, abstract, sumário;</w:t>
      </w:r>
    </w:p>
    <w:p w14:paraId="0000001A" w14:textId="77777777" w:rsidR="00F273B2" w:rsidRPr="00EC18F9" w:rsidRDefault="000374D7">
      <w:pPr>
        <w:numPr>
          <w:ilvl w:val="0"/>
          <w:numId w:val="2"/>
        </w:numPr>
        <w:jc w:val="both"/>
        <w:rPr>
          <w:rFonts w:ascii="Carlito" w:hAnsi="Carlito" w:cs="Carlito"/>
          <w:sz w:val="24"/>
          <w:szCs w:val="24"/>
        </w:rPr>
      </w:pPr>
      <w:r w:rsidRPr="00EC18F9">
        <w:rPr>
          <w:rFonts w:ascii="Carlito" w:hAnsi="Carlito" w:cs="Carlito"/>
          <w:sz w:val="24"/>
          <w:szCs w:val="24"/>
        </w:rPr>
        <w:t xml:space="preserve">a pessoa detentora dos direitos autorais (autoria do trabalho) deverá solicitar ao </w:t>
      </w:r>
      <w:r w:rsidRPr="00EC18F9">
        <w:rPr>
          <w:rFonts w:ascii="Carlito" w:hAnsi="Carlito" w:cs="Carlito"/>
          <w:sz w:val="24"/>
          <w:szCs w:val="24"/>
        </w:rPr>
        <w:t>docente orientador a autorização para publicação do trabalho no Repositório Institucional da UFPB. O Termo está disponível no site da Biblioteca Setorial e deverá conter as assinaturas do (a) discente e do (a) orientador (a);</w:t>
      </w:r>
    </w:p>
    <w:p w14:paraId="0000001B" w14:textId="77777777" w:rsidR="00F273B2" w:rsidRPr="00EC18F9" w:rsidRDefault="000374D7">
      <w:pPr>
        <w:numPr>
          <w:ilvl w:val="0"/>
          <w:numId w:val="2"/>
        </w:numPr>
        <w:jc w:val="both"/>
        <w:rPr>
          <w:rFonts w:ascii="Carlito" w:hAnsi="Carlito" w:cs="Carlito"/>
          <w:sz w:val="24"/>
          <w:szCs w:val="24"/>
        </w:rPr>
      </w:pPr>
      <w:r w:rsidRPr="00EC18F9">
        <w:rPr>
          <w:rFonts w:ascii="Carlito" w:hAnsi="Carlito" w:cs="Carlito"/>
          <w:sz w:val="24"/>
          <w:szCs w:val="24"/>
        </w:rPr>
        <w:t xml:space="preserve">a submissão do Trabalho de Conclusão de Curso (TCC) será feita através de formulário eletrônico disponível no site da Biblioteca; </w:t>
      </w:r>
    </w:p>
    <w:p w14:paraId="0000001C" w14:textId="77777777" w:rsidR="00F273B2" w:rsidRPr="00EC18F9" w:rsidRDefault="000374D7">
      <w:pPr>
        <w:numPr>
          <w:ilvl w:val="0"/>
          <w:numId w:val="2"/>
        </w:numPr>
        <w:jc w:val="both"/>
        <w:rPr>
          <w:rFonts w:ascii="Carlito" w:hAnsi="Carlito" w:cs="Carlito"/>
          <w:sz w:val="24"/>
          <w:szCs w:val="24"/>
        </w:rPr>
      </w:pPr>
      <w:r w:rsidRPr="00EC18F9">
        <w:rPr>
          <w:rFonts w:ascii="Carlito" w:hAnsi="Carlito" w:cs="Carlito"/>
          <w:sz w:val="24"/>
          <w:szCs w:val="24"/>
        </w:rPr>
        <w:t>o discente deverá inserir os dados solicitados no formulário e anexar a versão final, em PDF, do TCC e o Termo de Autorização</w:t>
      </w:r>
      <w:r w:rsidRPr="00EC18F9">
        <w:rPr>
          <w:rFonts w:ascii="Carlito" w:hAnsi="Carlito" w:cs="Carlito"/>
          <w:sz w:val="24"/>
          <w:szCs w:val="24"/>
        </w:rPr>
        <w:t xml:space="preserve"> de publicação assinado;</w:t>
      </w:r>
    </w:p>
    <w:p w14:paraId="0000001D" w14:textId="77777777" w:rsidR="00F273B2" w:rsidRPr="00EC18F9" w:rsidRDefault="000374D7">
      <w:pPr>
        <w:numPr>
          <w:ilvl w:val="0"/>
          <w:numId w:val="2"/>
        </w:numPr>
        <w:spacing w:after="240"/>
        <w:jc w:val="both"/>
        <w:rPr>
          <w:rFonts w:ascii="Carlito" w:hAnsi="Carlito" w:cs="Carlito"/>
          <w:sz w:val="24"/>
          <w:szCs w:val="24"/>
          <w:highlight w:val="white"/>
        </w:rPr>
      </w:pPr>
      <w:r w:rsidRPr="00EC18F9">
        <w:rPr>
          <w:rFonts w:ascii="Carlito" w:hAnsi="Carlito" w:cs="Carlito"/>
          <w:sz w:val="24"/>
          <w:szCs w:val="24"/>
          <w:highlight w:val="white"/>
        </w:rPr>
        <w:t>Para os casos em que for solicitada a restrição de acesso ao trabalho por um período determinado, o requerente deverá apresentar uma justificativa devidamente fundamentada, garantindo que o embargo se baseia em razões legítimas. Re</w:t>
      </w:r>
      <w:r w:rsidRPr="00EC18F9">
        <w:rPr>
          <w:rFonts w:ascii="Carlito" w:hAnsi="Carlito" w:cs="Carlito"/>
          <w:sz w:val="24"/>
          <w:szCs w:val="24"/>
          <w:highlight w:val="white"/>
        </w:rPr>
        <w:t>ssalta-se que o prazo máximo para o embargo é de até 1 (um) ano, podendo ser prorrogado por igual período, mediante nova solicitação justificada.</w:t>
      </w:r>
    </w:p>
    <w:p w14:paraId="0000001E" w14:textId="77777777" w:rsidR="00F273B2" w:rsidRPr="00EC18F9" w:rsidRDefault="00F273B2">
      <w:pPr>
        <w:ind w:left="720"/>
        <w:jc w:val="both"/>
        <w:rPr>
          <w:rFonts w:ascii="Carlito" w:hAnsi="Carlito" w:cs="Carlito"/>
          <w:sz w:val="24"/>
          <w:szCs w:val="24"/>
          <w:highlight w:val="red"/>
        </w:rPr>
      </w:pPr>
    </w:p>
    <w:p w14:paraId="0000001F" w14:textId="77777777" w:rsidR="00F273B2" w:rsidRPr="00EC18F9" w:rsidRDefault="00F273B2">
      <w:pPr>
        <w:jc w:val="both"/>
        <w:rPr>
          <w:rFonts w:ascii="Carlito" w:hAnsi="Carlito" w:cs="Carlito"/>
          <w:sz w:val="24"/>
          <w:szCs w:val="24"/>
        </w:rPr>
      </w:pPr>
    </w:p>
    <w:p w14:paraId="00000020" w14:textId="77777777" w:rsidR="00F273B2" w:rsidRPr="00EC18F9" w:rsidRDefault="000374D7" w:rsidP="00EC18F9">
      <w:pPr>
        <w:jc w:val="center"/>
        <w:rPr>
          <w:rFonts w:ascii="Carlito" w:hAnsi="Carlito" w:cs="Carlito"/>
          <w:sz w:val="24"/>
          <w:szCs w:val="24"/>
        </w:rPr>
      </w:pPr>
      <w:hyperlink r:id="rId7">
        <w:r w:rsidRPr="00EC18F9">
          <w:rPr>
            <w:rFonts w:ascii="Carlito" w:hAnsi="Carlito" w:cs="Carlito"/>
            <w:color w:val="1155CC"/>
            <w:sz w:val="24"/>
            <w:szCs w:val="24"/>
            <w:u w:val="single"/>
          </w:rPr>
          <w:t>FORMULÁRIO PARA DEPÓSITO DE TCC</w:t>
        </w:r>
      </w:hyperlink>
    </w:p>
    <w:p w14:paraId="00000021" w14:textId="77777777" w:rsidR="00F273B2" w:rsidRPr="00EC18F9" w:rsidRDefault="00F273B2">
      <w:pPr>
        <w:jc w:val="both"/>
        <w:rPr>
          <w:rFonts w:ascii="Carlito" w:hAnsi="Carlito" w:cs="Carlito"/>
          <w:sz w:val="24"/>
          <w:szCs w:val="24"/>
        </w:rPr>
      </w:pPr>
    </w:p>
    <w:p w14:paraId="00000022" w14:textId="77777777" w:rsidR="00F273B2" w:rsidRPr="00EC18F9" w:rsidRDefault="00F273B2">
      <w:pPr>
        <w:jc w:val="both"/>
        <w:rPr>
          <w:rFonts w:ascii="Carlito" w:hAnsi="Carlito" w:cs="Carlito"/>
          <w:sz w:val="24"/>
          <w:szCs w:val="24"/>
        </w:rPr>
      </w:pPr>
    </w:p>
    <w:p w14:paraId="00000023" w14:textId="77777777" w:rsidR="00F273B2" w:rsidRPr="00EC18F9" w:rsidRDefault="000374D7">
      <w:pPr>
        <w:jc w:val="both"/>
        <w:rPr>
          <w:rFonts w:ascii="Carlito" w:hAnsi="Carlito" w:cs="Carlito"/>
          <w:sz w:val="24"/>
          <w:szCs w:val="24"/>
        </w:rPr>
      </w:pPr>
      <w:r w:rsidRPr="00EC18F9">
        <w:rPr>
          <w:rFonts w:ascii="Carlito" w:hAnsi="Carlito" w:cs="Carlito"/>
          <w:sz w:val="24"/>
          <w:szCs w:val="24"/>
        </w:rPr>
        <w:t>Art. 3º. O depósito do TCC deverá ser realizado em até 30 dias após a defesa, EXCLUSIVAMENTE pelo formulário eletrônico disponibilizado no website da Biblioteca Setorial do CCA, respeitando e incorpor</w:t>
      </w:r>
      <w:r w:rsidRPr="00EC18F9">
        <w:rPr>
          <w:rFonts w:ascii="Carlito" w:hAnsi="Carlito" w:cs="Carlito"/>
          <w:sz w:val="24"/>
          <w:szCs w:val="24"/>
        </w:rPr>
        <w:t>ando as observações sugeridas pela Banca Examinadora.</w:t>
      </w:r>
    </w:p>
    <w:p w14:paraId="00000024" w14:textId="77777777" w:rsidR="00F273B2" w:rsidRPr="00EC18F9" w:rsidRDefault="00F273B2">
      <w:pPr>
        <w:jc w:val="both"/>
        <w:rPr>
          <w:rFonts w:ascii="Carlito" w:hAnsi="Carlito" w:cs="Carlito"/>
          <w:sz w:val="24"/>
          <w:szCs w:val="24"/>
        </w:rPr>
      </w:pPr>
    </w:p>
    <w:p w14:paraId="00000025" w14:textId="77777777" w:rsidR="00F273B2" w:rsidRPr="00EC18F9" w:rsidRDefault="000374D7">
      <w:pPr>
        <w:jc w:val="both"/>
        <w:rPr>
          <w:rFonts w:ascii="Carlito" w:hAnsi="Carlito" w:cs="Carlito"/>
          <w:sz w:val="24"/>
          <w:szCs w:val="24"/>
        </w:rPr>
      </w:pPr>
      <w:r w:rsidRPr="00EC18F9">
        <w:rPr>
          <w:rFonts w:ascii="Carlito" w:hAnsi="Carlito" w:cs="Carlito"/>
          <w:sz w:val="24"/>
          <w:szCs w:val="24"/>
        </w:rPr>
        <w:t>Art. 4º. Os casos omissos não contemplados nesta Resolução, serão resolvidos pela Coordenação da Biblioteca Setorial.</w:t>
      </w:r>
    </w:p>
    <w:p w14:paraId="00000026" w14:textId="77777777" w:rsidR="00F273B2" w:rsidRPr="00EC18F9" w:rsidRDefault="00F273B2">
      <w:pPr>
        <w:jc w:val="both"/>
        <w:rPr>
          <w:rFonts w:ascii="Carlito" w:hAnsi="Carlito" w:cs="Carlito"/>
          <w:sz w:val="24"/>
          <w:szCs w:val="24"/>
        </w:rPr>
      </w:pPr>
    </w:p>
    <w:p w14:paraId="00000027" w14:textId="77777777" w:rsidR="00F273B2" w:rsidRPr="00EC18F9" w:rsidRDefault="000374D7">
      <w:pPr>
        <w:jc w:val="both"/>
        <w:rPr>
          <w:rFonts w:ascii="Carlito" w:hAnsi="Carlito" w:cs="Carlito"/>
          <w:sz w:val="24"/>
          <w:szCs w:val="24"/>
        </w:rPr>
      </w:pPr>
      <w:r w:rsidRPr="00EC18F9">
        <w:rPr>
          <w:rFonts w:ascii="Carlito" w:hAnsi="Carlito" w:cs="Carlito"/>
          <w:sz w:val="24"/>
          <w:szCs w:val="24"/>
        </w:rPr>
        <w:t>Art. 5º Esta resolução entra em vigor na data de sua aprovação, revogada as dispos</w:t>
      </w:r>
      <w:r w:rsidRPr="00EC18F9">
        <w:rPr>
          <w:rFonts w:ascii="Carlito" w:hAnsi="Carlito" w:cs="Carlito"/>
          <w:sz w:val="24"/>
          <w:szCs w:val="24"/>
        </w:rPr>
        <w:t xml:space="preserve">ições contrárias. </w:t>
      </w:r>
    </w:p>
    <w:p w14:paraId="00000028" w14:textId="77777777" w:rsidR="00F273B2" w:rsidRPr="00EC18F9" w:rsidRDefault="00F273B2">
      <w:pPr>
        <w:jc w:val="both"/>
        <w:rPr>
          <w:rFonts w:ascii="Carlito" w:hAnsi="Carlito" w:cs="Carlito"/>
          <w:sz w:val="24"/>
          <w:szCs w:val="24"/>
        </w:rPr>
      </w:pPr>
    </w:p>
    <w:p w14:paraId="00000029" w14:textId="116590A1" w:rsidR="00F273B2" w:rsidRPr="00EC18F9" w:rsidRDefault="00EC18F9">
      <w:pPr>
        <w:jc w:val="both"/>
        <w:rPr>
          <w:rFonts w:ascii="Carlito" w:hAnsi="Carlito" w:cs="Carlito"/>
          <w:sz w:val="24"/>
          <w:szCs w:val="24"/>
        </w:rPr>
      </w:pPr>
      <w:r>
        <w:rPr>
          <w:rFonts w:ascii="Carlito" w:hAnsi="Carlito" w:cs="Carlito"/>
          <w:sz w:val="24"/>
          <w:szCs w:val="24"/>
        </w:rPr>
        <w:t xml:space="preserve">                      </w:t>
      </w:r>
      <w:r w:rsidR="000374D7" w:rsidRPr="00EC18F9">
        <w:rPr>
          <w:rFonts w:ascii="Carlito" w:hAnsi="Carlito" w:cs="Carlito"/>
          <w:sz w:val="24"/>
          <w:szCs w:val="24"/>
        </w:rPr>
        <w:t>Direção do Centro de Ciências Agrárias, Areia, 04 de abril de 2025.</w:t>
      </w:r>
    </w:p>
    <w:p w14:paraId="0000002A" w14:textId="77777777" w:rsidR="00F273B2" w:rsidRPr="00EC18F9" w:rsidRDefault="00F273B2">
      <w:pPr>
        <w:jc w:val="both"/>
        <w:rPr>
          <w:rFonts w:ascii="Carlito" w:hAnsi="Carlito" w:cs="Carlito"/>
          <w:sz w:val="24"/>
          <w:szCs w:val="24"/>
        </w:rPr>
      </w:pPr>
    </w:p>
    <w:p w14:paraId="0000002B" w14:textId="343DA0E4" w:rsidR="00F273B2" w:rsidRDefault="00F273B2">
      <w:pPr>
        <w:jc w:val="both"/>
        <w:rPr>
          <w:rFonts w:ascii="Carlito" w:hAnsi="Carlito" w:cs="Carlito"/>
          <w:sz w:val="24"/>
          <w:szCs w:val="24"/>
        </w:rPr>
      </w:pPr>
    </w:p>
    <w:p w14:paraId="3B521648" w14:textId="572D9E9F" w:rsidR="00227A57" w:rsidRDefault="00227A57">
      <w:pPr>
        <w:jc w:val="both"/>
        <w:rPr>
          <w:rFonts w:ascii="Carlito" w:hAnsi="Carlito" w:cs="Carlito"/>
          <w:sz w:val="24"/>
          <w:szCs w:val="24"/>
        </w:rPr>
      </w:pPr>
    </w:p>
    <w:p w14:paraId="0C2B2B22" w14:textId="77777777" w:rsidR="00227A57" w:rsidRPr="00EC18F9" w:rsidRDefault="00227A57">
      <w:pPr>
        <w:jc w:val="both"/>
        <w:rPr>
          <w:rFonts w:ascii="Carlito" w:hAnsi="Carlito" w:cs="Carlito"/>
          <w:sz w:val="24"/>
          <w:szCs w:val="24"/>
        </w:rPr>
      </w:pPr>
    </w:p>
    <w:p w14:paraId="0000002C" w14:textId="77777777" w:rsidR="00F273B2" w:rsidRPr="00EC18F9" w:rsidRDefault="00F273B2">
      <w:pPr>
        <w:jc w:val="center"/>
        <w:rPr>
          <w:rFonts w:ascii="Carlito" w:hAnsi="Carlito" w:cs="Carlito"/>
          <w:sz w:val="24"/>
          <w:szCs w:val="24"/>
        </w:rPr>
      </w:pPr>
    </w:p>
    <w:p w14:paraId="0000002D" w14:textId="77777777" w:rsidR="00F273B2" w:rsidRPr="00EC18F9" w:rsidRDefault="00F273B2">
      <w:pPr>
        <w:jc w:val="center"/>
        <w:rPr>
          <w:rFonts w:ascii="Carlito" w:hAnsi="Carlito" w:cs="Carlito"/>
          <w:sz w:val="24"/>
          <w:szCs w:val="24"/>
        </w:rPr>
      </w:pPr>
    </w:p>
    <w:p w14:paraId="0000002E" w14:textId="77777777" w:rsidR="00F273B2" w:rsidRPr="00EC18F9" w:rsidRDefault="000374D7">
      <w:pPr>
        <w:jc w:val="center"/>
        <w:rPr>
          <w:rFonts w:ascii="Carlito" w:hAnsi="Carlito" w:cs="Carlito"/>
          <w:sz w:val="24"/>
          <w:szCs w:val="24"/>
        </w:rPr>
      </w:pPr>
      <w:r w:rsidRPr="00EC18F9">
        <w:rPr>
          <w:rFonts w:ascii="Carlito" w:hAnsi="Carlito" w:cs="Carlito"/>
          <w:sz w:val="24"/>
          <w:szCs w:val="24"/>
        </w:rPr>
        <w:t>Bruno de Oliveira Dias</w:t>
      </w:r>
    </w:p>
    <w:p w14:paraId="0000002F" w14:textId="77777777" w:rsidR="00F273B2" w:rsidRPr="00EC18F9" w:rsidRDefault="000374D7">
      <w:pPr>
        <w:jc w:val="center"/>
        <w:rPr>
          <w:rFonts w:ascii="Carlito" w:hAnsi="Carlito" w:cs="Carlito"/>
          <w:sz w:val="24"/>
          <w:szCs w:val="24"/>
        </w:rPr>
      </w:pPr>
      <w:r w:rsidRPr="00EC18F9">
        <w:rPr>
          <w:rFonts w:ascii="Carlito" w:hAnsi="Carlito" w:cs="Carlito"/>
          <w:sz w:val="24"/>
          <w:szCs w:val="24"/>
        </w:rPr>
        <w:t>Diretor do CCA</w:t>
      </w:r>
    </w:p>
    <w:sectPr w:rsidR="00F273B2" w:rsidRPr="00EC18F9">
      <w:headerReference w:type="default" r:id="rId8"/>
      <w:footerReference w:type="default" r:id="rId9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376A15" w14:textId="77777777" w:rsidR="000374D7" w:rsidRDefault="000374D7" w:rsidP="00EC18F9">
      <w:pPr>
        <w:spacing w:line="240" w:lineRule="auto"/>
      </w:pPr>
      <w:r>
        <w:separator/>
      </w:r>
    </w:p>
  </w:endnote>
  <w:endnote w:type="continuationSeparator" w:id="0">
    <w:p w14:paraId="175BF7FA" w14:textId="77777777" w:rsidR="000374D7" w:rsidRDefault="000374D7" w:rsidP="00EC18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ADE975" w14:textId="77777777" w:rsidR="00EC18F9" w:rsidRPr="000D3DEA" w:rsidRDefault="00EC18F9" w:rsidP="00EC18F9">
    <w:pPr>
      <w:pStyle w:val="Rodap"/>
      <w:jc w:val="center"/>
      <w:rPr>
        <w:rStyle w:val="Forte"/>
        <w:rFonts w:ascii="Carlito" w:hAnsi="Carlito" w:cs="Carlito"/>
        <w:color w:val="172938"/>
        <w:sz w:val="16"/>
        <w:szCs w:val="16"/>
        <w:shd w:val="clear" w:color="auto" w:fill="FFFFFF"/>
      </w:rPr>
    </w:pPr>
    <w:r w:rsidRPr="000D3DEA">
      <w:rPr>
        <w:rStyle w:val="Forte"/>
        <w:rFonts w:ascii="Carlito" w:hAnsi="Carlito" w:cs="Carlito"/>
        <w:color w:val="172938"/>
        <w:sz w:val="16"/>
        <w:szCs w:val="16"/>
        <w:shd w:val="clear" w:color="auto" w:fill="FFFFFF"/>
      </w:rPr>
      <w:t>Centro de Ciências Agrárias - Campus II</w:t>
    </w:r>
  </w:p>
  <w:p w14:paraId="35E1F2BD" w14:textId="77777777" w:rsidR="00EC18F9" w:rsidRPr="000D3DEA" w:rsidRDefault="00EC18F9" w:rsidP="00EC18F9">
    <w:pPr>
      <w:pStyle w:val="Rodap"/>
      <w:jc w:val="center"/>
      <w:rPr>
        <w:rFonts w:ascii="Carlito" w:hAnsi="Carlito" w:cs="Carlito"/>
        <w:b/>
        <w:bCs/>
        <w:color w:val="172938"/>
        <w:sz w:val="16"/>
        <w:szCs w:val="16"/>
        <w:shd w:val="clear" w:color="auto" w:fill="FFFFFF"/>
      </w:rPr>
    </w:pPr>
    <w:r w:rsidRPr="000D3DEA">
      <w:rPr>
        <w:rFonts w:ascii="Carlito" w:hAnsi="Carlito" w:cs="Carlito"/>
        <w:b/>
        <w:bCs/>
        <w:color w:val="172938"/>
        <w:sz w:val="16"/>
        <w:szCs w:val="16"/>
        <w:shd w:val="clear" w:color="auto" w:fill="FFFFFF"/>
      </w:rPr>
      <w:t>CEP: 58.397-000 - Areia - PB -</w:t>
    </w:r>
    <w:r w:rsidRPr="000D3DEA">
      <w:rPr>
        <w:rFonts w:ascii="Calibri" w:hAnsi="Calibri" w:cs="Calibri"/>
        <w:b/>
        <w:bCs/>
        <w:color w:val="172938"/>
        <w:sz w:val="16"/>
        <w:szCs w:val="16"/>
        <w:shd w:val="clear" w:color="auto" w:fill="FFFFFF"/>
      </w:rPr>
      <w:t> </w:t>
    </w:r>
    <w:r w:rsidRPr="000D3DEA">
      <w:rPr>
        <w:rFonts w:ascii="Carlito" w:hAnsi="Carlito" w:cs="Carlito"/>
        <w:b/>
        <w:bCs/>
        <w:color w:val="172938"/>
        <w:sz w:val="16"/>
        <w:szCs w:val="16"/>
        <w:shd w:val="clear" w:color="auto" w:fill="FFFFFF"/>
      </w:rPr>
      <w:t>Rodovia PB 079 - Km 12</w:t>
    </w:r>
    <w:r w:rsidRPr="000D3DEA">
      <w:rPr>
        <w:rFonts w:ascii="Carlito" w:hAnsi="Carlito" w:cs="Carlito"/>
        <w:b/>
        <w:bCs/>
        <w:color w:val="172938"/>
        <w:sz w:val="16"/>
        <w:szCs w:val="16"/>
      </w:rPr>
      <w:br/>
    </w:r>
    <w:r w:rsidRPr="000D3DEA">
      <w:rPr>
        <w:rFonts w:ascii="Carlito" w:hAnsi="Carlito" w:cs="Carlito"/>
        <w:b/>
        <w:bCs/>
        <w:color w:val="172938"/>
        <w:sz w:val="16"/>
        <w:szCs w:val="16"/>
        <w:shd w:val="clear" w:color="auto" w:fill="FFFFFF"/>
      </w:rPr>
      <w:t>Tel. (83) 3049-</w:t>
    </w:r>
    <w:proofErr w:type="gramStart"/>
    <w:r w:rsidRPr="000D3DEA">
      <w:rPr>
        <w:rFonts w:ascii="Carlito" w:hAnsi="Carlito" w:cs="Carlito"/>
        <w:b/>
        <w:bCs/>
        <w:color w:val="172938"/>
        <w:sz w:val="16"/>
        <w:szCs w:val="16"/>
        <w:shd w:val="clear" w:color="auto" w:fill="FFFFFF"/>
      </w:rPr>
      <w:t>4502  -</w:t>
    </w:r>
    <w:proofErr w:type="gramEnd"/>
    <w:r w:rsidRPr="000D3DEA">
      <w:rPr>
        <w:rFonts w:ascii="Calibri" w:hAnsi="Calibri" w:cs="Calibri"/>
        <w:b/>
        <w:bCs/>
        <w:color w:val="172938"/>
        <w:sz w:val="16"/>
        <w:szCs w:val="16"/>
        <w:shd w:val="clear" w:color="auto" w:fill="FFFFFF"/>
      </w:rPr>
      <w:t> </w:t>
    </w:r>
    <w:r w:rsidRPr="000D3DEA">
      <w:rPr>
        <w:rFonts w:ascii="Carlito" w:hAnsi="Carlito" w:cs="Carlito"/>
        <w:b/>
        <w:bCs/>
        <w:color w:val="172938"/>
        <w:sz w:val="16"/>
        <w:szCs w:val="16"/>
        <w:shd w:val="clear" w:color="auto" w:fill="FFFFFF"/>
      </w:rPr>
      <w:t xml:space="preserve">E-mail </w:t>
    </w:r>
    <w:hyperlink r:id="rId1" w:history="1">
      <w:r w:rsidRPr="000D3DEA">
        <w:rPr>
          <w:rStyle w:val="Hyperlink"/>
          <w:rFonts w:ascii="Carlito" w:hAnsi="Carlito" w:cs="Carlito"/>
          <w:b/>
          <w:bCs/>
          <w:sz w:val="16"/>
          <w:szCs w:val="16"/>
          <w:shd w:val="clear" w:color="auto" w:fill="FFFFFF"/>
        </w:rPr>
        <w:t>diretoria@cca.ufpb.br</w:t>
      </w:r>
    </w:hyperlink>
  </w:p>
  <w:p w14:paraId="382A1035" w14:textId="77777777" w:rsidR="00EC18F9" w:rsidRPr="000D3DEA" w:rsidRDefault="00EC18F9" w:rsidP="00EC18F9">
    <w:pPr>
      <w:pStyle w:val="Rodap"/>
      <w:jc w:val="center"/>
      <w:rPr>
        <w:rFonts w:ascii="Carlito" w:hAnsi="Carlito" w:cs="Carlito"/>
        <w:b/>
        <w:bCs/>
        <w:sz w:val="18"/>
        <w:szCs w:val="14"/>
      </w:rPr>
    </w:pPr>
    <w:r w:rsidRPr="000D3DEA">
      <w:rPr>
        <w:rStyle w:val="Forte"/>
        <w:rFonts w:ascii="Carlito" w:hAnsi="Carlito" w:cs="Carlito"/>
        <w:color w:val="172938"/>
        <w:sz w:val="16"/>
        <w:szCs w:val="16"/>
        <w:shd w:val="clear" w:color="auto" w:fill="FFFFFF"/>
      </w:rPr>
      <w:t>www.cca.ufpb.br</w:t>
    </w:r>
  </w:p>
  <w:p w14:paraId="7E2398DE" w14:textId="77777777" w:rsidR="00EC18F9" w:rsidRDefault="00EC18F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F042C9" w14:textId="77777777" w:rsidR="000374D7" w:rsidRDefault="000374D7" w:rsidP="00EC18F9">
      <w:pPr>
        <w:spacing w:line="240" w:lineRule="auto"/>
      </w:pPr>
      <w:r>
        <w:separator/>
      </w:r>
    </w:p>
  </w:footnote>
  <w:footnote w:type="continuationSeparator" w:id="0">
    <w:p w14:paraId="40177DAE" w14:textId="77777777" w:rsidR="000374D7" w:rsidRDefault="000374D7" w:rsidP="00EC18F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211203" w14:textId="1565BD86" w:rsidR="00EC18F9" w:rsidRDefault="00EC18F9" w:rsidP="00EC18F9">
    <w:pPr>
      <w:pStyle w:val="Cabealho"/>
      <w:jc w:val="center"/>
    </w:pPr>
    <w:r>
      <w:rPr>
        <w:rFonts w:ascii="Tahoma" w:hAnsi="Tahoma"/>
        <w:b/>
        <w:noProof/>
        <w:color w:val="000000"/>
        <w:sz w:val="16"/>
      </w:rPr>
      <w:drawing>
        <wp:inline distT="0" distB="0" distL="0" distR="0" wp14:anchorId="6E30A3A5" wp14:editId="5B02EF92">
          <wp:extent cx="1075055" cy="838200"/>
          <wp:effectExtent l="0" t="0" r="0" b="0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505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64ECC8" w14:textId="7EAEA027" w:rsidR="00EC18F9" w:rsidRPr="00204FAC" w:rsidRDefault="00EC18F9" w:rsidP="00EC18F9">
    <w:pPr>
      <w:jc w:val="center"/>
      <w:rPr>
        <w:rFonts w:ascii="Tahoma" w:hAnsi="Tahoma"/>
        <w:b/>
        <w:color w:val="000000"/>
        <w:sz w:val="16"/>
      </w:rPr>
    </w:pPr>
    <w:r>
      <w:rPr>
        <w:rFonts w:asciiTheme="minorHAnsi" w:hAnsiTheme="minorHAnsi"/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4621177" wp14:editId="63EFB98F">
              <wp:simplePos x="0" y="0"/>
              <wp:positionH relativeFrom="column">
                <wp:posOffset>6949440</wp:posOffset>
              </wp:positionH>
              <wp:positionV relativeFrom="paragraph">
                <wp:posOffset>5730240</wp:posOffset>
              </wp:positionV>
              <wp:extent cx="2392680" cy="469900"/>
              <wp:effectExtent l="0" t="0" r="7620" b="6350"/>
              <wp:wrapNone/>
              <wp:docPr id="5" name="Retâ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392680" cy="469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44B1BD" w14:textId="77777777" w:rsidR="00EC18F9" w:rsidRDefault="00EC18F9" w:rsidP="00EC18F9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4621177" id="Retângulo 5" o:spid="_x0000_s1026" style="position:absolute;left:0;text-align:left;margin-left:547.2pt;margin-top:451.2pt;width:188.4pt;height:3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" o:allowincell="f" stroked="f" strokeweight="0">
              <v:textbox inset="0,0,0,0">
                <w:txbxContent>
                  <w:p w14:paraId="1144B1BD" w14:textId="77777777" w:rsidR="00EC18F9" w:rsidRDefault="00EC18F9" w:rsidP="00EC18F9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 w:rsidRPr="00204FAC">
      <w:rPr>
        <w:rFonts w:ascii="Tahoma" w:hAnsi="Tahoma"/>
        <w:b/>
        <w:color w:val="000000"/>
        <w:sz w:val="16"/>
      </w:rPr>
      <w:t>Universidade Federal da Paraíba</w:t>
    </w:r>
  </w:p>
  <w:p w14:paraId="6BDC9563" w14:textId="77777777" w:rsidR="00EC18F9" w:rsidRPr="00204FAC" w:rsidRDefault="00EC18F9" w:rsidP="00EC18F9">
    <w:pPr>
      <w:jc w:val="center"/>
      <w:rPr>
        <w:rFonts w:ascii="Tahoma" w:hAnsi="Tahoma"/>
        <w:b/>
        <w:sz w:val="16"/>
      </w:rPr>
    </w:pPr>
    <w:r w:rsidRPr="00204FAC">
      <w:rPr>
        <w:rFonts w:ascii="Tahoma" w:hAnsi="Tahoma"/>
        <w:b/>
        <w:sz w:val="16"/>
      </w:rPr>
      <w:t xml:space="preserve">Centro de Ciências Agrárias </w:t>
    </w:r>
    <w:r>
      <w:rPr>
        <w:rFonts w:ascii="Tahoma" w:hAnsi="Tahoma"/>
        <w:b/>
        <w:sz w:val="16"/>
      </w:rPr>
      <w:t xml:space="preserve">    </w:t>
    </w:r>
    <w:r w:rsidRPr="00204FAC">
      <w:rPr>
        <w:rFonts w:ascii="Tahoma" w:hAnsi="Tahoma"/>
        <w:b/>
        <w:sz w:val="16"/>
      </w:rPr>
      <w:t xml:space="preserve"> </w:t>
    </w:r>
    <w:r>
      <w:rPr>
        <w:rFonts w:ascii="Tahoma" w:hAnsi="Tahoma"/>
        <w:b/>
        <w:sz w:val="16"/>
      </w:rPr>
      <w:t xml:space="preserve"> </w:t>
    </w:r>
  </w:p>
  <w:p w14:paraId="44575FB6" w14:textId="75442364" w:rsidR="00EC18F9" w:rsidRDefault="00EC18F9" w:rsidP="00EC18F9">
    <w:pPr>
      <w:jc w:val="center"/>
      <w:rPr>
        <w:rFonts w:ascii="Tahoma" w:hAnsi="Tahoma"/>
        <w:b/>
        <w:sz w:val="16"/>
      </w:rPr>
    </w:pPr>
    <w:r w:rsidRPr="00204FAC">
      <w:rPr>
        <w:rFonts w:ascii="Tahoma" w:hAnsi="Tahoma"/>
        <w:b/>
        <w:sz w:val="16"/>
      </w:rPr>
      <w:t xml:space="preserve">Campus II Areia </w:t>
    </w:r>
    <w:r>
      <w:rPr>
        <w:rFonts w:ascii="Tahoma" w:hAnsi="Tahoma"/>
        <w:b/>
        <w:sz w:val="16"/>
      </w:rPr>
      <w:t>–</w:t>
    </w:r>
    <w:r w:rsidRPr="00204FAC">
      <w:rPr>
        <w:rFonts w:ascii="Tahoma" w:hAnsi="Tahoma"/>
        <w:b/>
        <w:sz w:val="16"/>
      </w:rPr>
      <w:t xml:space="preserve"> PB</w:t>
    </w:r>
  </w:p>
  <w:p w14:paraId="7B246863" w14:textId="084B1AFF" w:rsidR="00EC18F9" w:rsidRPr="00EC18F9" w:rsidRDefault="00EC18F9" w:rsidP="00EC18F9">
    <w:pPr>
      <w:jc w:val="center"/>
      <w:rPr>
        <w:rFonts w:ascii="Tahoma" w:hAnsi="Tahoma"/>
        <w:b/>
        <w:sz w:val="16"/>
      </w:rPr>
    </w:pPr>
    <w:r w:rsidRPr="00EC18F9">
      <w:rPr>
        <w:rFonts w:ascii="Tahoma" w:hAnsi="Tahoma"/>
        <w:b/>
        <w:sz w:val="16"/>
      </w:rPr>
      <w:t>Gabinete da Diretoria</w:t>
    </w:r>
  </w:p>
  <w:p w14:paraId="64625D8D" w14:textId="77777777" w:rsidR="00EC18F9" w:rsidRDefault="00EC18F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5C296A"/>
    <w:multiLevelType w:val="multilevel"/>
    <w:tmpl w:val="10EC72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F680456"/>
    <w:multiLevelType w:val="multilevel"/>
    <w:tmpl w:val="EDF8C37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3B2"/>
    <w:rsid w:val="000374D7"/>
    <w:rsid w:val="00227A57"/>
    <w:rsid w:val="00D55104"/>
    <w:rsid w:val="00EC18F9"/>
    <w:rsid w:val="00F27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9A692D"/>
  <w15:docId w15:val="{C22EA2CC-A2DD-4700-A0AE-DCD751AA6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EC18F9"/>
    <w:pPr>
      <w:widowControl w:val="0"/>
      <w:autoSpaceDE w:val="0"/>
      <w:autoSpaceDN w:val="0"/>
      <w:spacing w:line="240" w:lineRule="auto"/>
    </w:pPr>
    <w:rPr>
      <w:rFonts w:ascii="Tahoma" w:eastAsia="Tahoma" w:hAnsi="Tahoma" w:cs="Tahoma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EC18F9"/>
    <w:rPr>
      <w:rFonts w:ascii="Tahoma" w:eastAsia="Tahoma" w:hAnsi="Tahoma" w:cs="Tahoma"/>
      <w:lang w:val="pt-PT" w:eastAsia="en-US"/>
    </w:rPr>
  </w:style>
  <w:style w:type="paragraph" w:styleId="Cabealho">
    <w:name w:val="header"/>
    <w:basedOn w:val="Normal"/>
    <w:link w:val="CabealhoChar"/>
    <w:uiPriority w:val="99"/>
    <w:unhideWhenUsed/>
    <w:rsid w:val="00EC18F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C18F9"/>
  </w:style>
  <w:style w:type="paragraph" w:styleId="Rodap">
    <w:name w:val="footer"/>
    <w:basedOn w:val="Normal"/>
    <w:link w:val="RodapChar"/>
    <w:uiPriority w:val="99"/>
    <w:unhideWhenUsed/>
    <w:rsid w:val="00EC18F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C18F9"/>
  </w:style>
  <w:style w:type="character" w:styleId="Forte">
    <w:name w:val="Strong"/>
    <w:basedOn w:val="Fontepargpadro"/>
    <w:uiPriority w:val="22"/>
    <w:qFormat/>
    <w:rsid w:val="00EC18F9"/>
    <w:rPr>
      <w:b/>
      <w:bCs/>
    </w:rPr>
  </w:style>
  <w:style w:type="character" w:styleId="Hyperlink">
    <w:name w:val="Hyperlink"/>
    <w:basedOn w:val="Fontepargpadro"/>
    <w:uiPriority w:val="99"/>
    <w:unhideWhenUsed/>
    <w:rsid w:val="00EC18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47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e/1FAIpQLScylzrMVMZuu6cZpEyJwHMaTudx1uBzlwjyV307yNF1Ce2lTQ/viewform?usp=head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iretoria@cca.ufpb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753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Eliane</dc:creator>
  <cp:lastModifiedBy>Cca </cp:lastModifiedBy>
  <cp:revision>2</cp:revision>
  <cp:lastPrinted>2025-04-08T10:31:00Z</cp:lastPrinted>
  <dcterms:created xsi:type="dcterms:W3CDTF">2025-04-08T10:31:00Z</dcterms:created>
  <dcterms:modified xsi:type="dcterms:W3CDTF">2025-04-08T10:31:00Z</dcterms:modified>
</cp:coreProperties>
</file>