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646"/>
      </w:tblGrid>
      <w:tr w:rsidR="00842D8B" w:rsidRPr="002545C1" w:rsidTr="00BE1DFC">
        <w:trPr>
          <w:trHeight w:val="55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D8B" w:rsidRPr="002545C1" w:rsidRDefault="00842D8B" w:rsidP="00BE1DFC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DD0134F" wp14:editId="428196A4">
                  <wp:extent cx="541655" cy="75057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42D8B" w:rsidRPr="00E747F4" w:rsidRDefault="00842D8B" w:rsidP="00BE1DF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2"/>
                <w:szCs w:val="20"/>
              </w:rPr>
            </w:pPr>
            <w:r w:rsidRPr="00E747F4">
              <w:rPr>
                <w:rFonts w:ascii="Cambria" w:hAnsi="Cambria" w:cs="Calibri"/>
                <w:b/>
                <w:bCs/>
                <w:sz w:val="22"/>
                <w:szCs w:val="20"/>
              </w:rPr>
              <w:t>UNIVERSIDADE FEDERAL DA PARAÍBA - UFPB</w:t>
            </w:r>
          </w:p>
          <w:p w:rsidR="00842D8B" w:rsidRPr="00E747F4" w:rsidRDefault="00842D8B" w:rsidP="00BE1DF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2"/>
                <w:szCs w:val="20"/>
              </w:rPr>
            </w:pPr>
            <w:r w:rsidRPr="00E747F4">
              <w:rPr>
                <w:rFonts w:ascii="Cambria" w:hAnsi="Cambria" w:cs="Calibri"/>
                <w:b/>
                <w:bCs/>
                <w:sz w:val="22"/>
                <w:szCs w:val="20"/>
              </w:rPr>
              <w:t>CENTRO DE CIÊNCIAS SOCIAIS APLICADAS - CCSA</w:t>
            </w:r>
          </w:p>
          <w:p w:rsidR="00842D8B" w:rsidRPr="00E747F4" w:rsidRDefault="00842D8B" w:rsidP="00BE1DF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2"/>
                <w:szCs w:val="20"/>
              </w:rPr>
            </w:pPr>
            <w:r w:rsidRPr="00E747F4">
              <w:rPr>
                <w:rFonts w:ascii="Cambria" w:hAnsi="Cambria" w:cs="Calibri"/>
                <w:b/>
                <w:bCs/>
                <w:sz w:val="22"/>
                <w:szCs w:val="20"/>
              </w:rPr>
              <w:t xml:space="preserve">DEPARTAMENTO DE </w:t>
            </w:r>
            <w:r>
              <w:rPr>
                <w:rFonts w:ascii="Cambria" w:hAnsi="Cambria" w:cs="Calibri"/>
                <w:b/>
                <w:bCs/>
                <w:sz w:val="22"/>
                <w:szCs w:val="20"/>
              </w:rPr>
              <w:t>FINANÇAS E CONTABILIDADE - DFC</w:t>
            </w:r>
          </w:p>
          <w:p w:rsidR="00842D8B" w:rsidRPr="00A86253" w:rsidRDefault="00842D8B" w:rsidP="00BE1DFC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A86253">
              <w:rPr>
                <w:rFonts w:ascii="Cambria" w:hAnsi="Cambria" w:cs="Calibri"/>
                <w:b/>
                <w:bCs/>
                <w:sz w:val="18"/>
                <w:szCs w:val="18"/>
              </w:rPr>
              <w:t>Campus Universitário - João Pessoa – PB</w:t>
            </w: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- </w:t>
            </w:r>
            <w:r w:rsidRPr="00A86253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Fone: 3216-7459</w:t>
            </w:r>
          </w:p>
        </w:tc>
      </w:tr>
    </w:tbl>
    <w:p w:rsidR="00842D8B" w:rsidRDefault="00842D8B" w:rsidP="00842D8B">
      <w:pPr>
        <w:widowControl w:val="0"/>
        <w:jc w:val="center"/>
        <w:outlineLvl w:val="0"/>
        <w:rPr>
          <w:rFonts w:ascii="Cambria" w:hAnsi="Cambria" w:cs="Calibri"/>
          <w:b/>
          <w:sz w:val="20"/>
          <w:szCs w:val="20"/>
        </w:rPr>
      </w:pPr>
    </w:p>
    <w:p w:rsidR="00842D8B" w:rsidRPr="002545C1" w:rsidRDefault="00842D8B" w:rsidP="00842D8B">
      <w:pPr>
        <w:widowControl w:val="0"/>
        <w:jc w:val="center"/>
        <w:outlineLvl w:val="0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Plano de Curso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842D8B" w:rsidRPr="003B306E" w:rsidTr="00BE1DFC">
        <w:tc>
          <w:tcPr>
            <w:tcW w:w="9668" w:type="dxa"/>
            <w:vAlign w:val="center"/>
          </w:tcPr>
          <w:p w:rsidR="00842D8B" w:rsidRPr="00025891" w:rsidRDefault="00842D8B" w:rsidP="00BE1DFC">
            <w:pPr>
              <w:pStyle w:val="Luiz1"/>
              <w:rPr>
                <w:rFonts w:ascii="Cambria" w:hAnsi="Cambria" w:cs="Calibri"/>
                <w:b/>
                <w:bCs/>
                <w:sz w:val="20"/>
              </w:rPr>
            </w:pPr>
            <w:r w:rsidRPr="00025891">
              <w:rPr>
                <w:rFonts w:ascii="Cambria" w:hAnsi="Cambria" w:cs="Calibri"/>
                <w:b/>
                <w:bCs/>
                <w:sz w:val="20"/>
              </w:rPr>
              <w:t>CURSO</w:t>
            </w:r>
            <w:r>
              <w:rPr>
                <w:rFonts w:ascii="Cambria" w:hAnsi="Cambria" w:cs="Calibri"/>
                <w:b/>
                <w:bCs/>
                <w:sz w:val="20"/>
              </w:rPr>
              <w:t xml:space="preserve">: </w:t>
            </w:r>
            <w:r>
              <w:rPr>
                <w:rFonts w:ascii="Cambria" w:hAnsi="Cambria" w:cs="Calibri"/>
                <w:sz w:val="20"/>
              </w:rPr>
              <w:t>Ativo Imobilizado</w:t>
            </w:r>
          </w:p>
        </w:tc>
      </w:tr>
      <w:tr w:rsidR="00842D8B" w:rsidRPr="003B306E" w:rsidTr="00BE1DFC">
        <w:tc>
          <w:tcPr>
            <w:tcW w:w="9668" w:type="dxa"/>
            <w:vAlign w:val="center"/>
          </w:tcPr>
          <w:p w:rsidR="00842D8B" w:rsidRPr="003B306E" w:rsidRDefault="00842D8B" w:rsidP="00BE1DFC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  <w:r w:rsidRPr="00025891">
              <w:rPr>
                <w:rFonts w:ascii="Cambria" w:hAnsi="Cambria" w:cs="Calibri"/>
                <w:b/>
                <w:sz w:val="20"/>
              </w:rPr>
              <w:t xml:space="preserve">CARGA HORÁRIA/CRÉDITOS: </w:t>
            </w:r>
            <w:r w:rsidRPr="00025891">
              <w:rPr>
                <w:rFonts w:ascii="Cambria" w:hAnsi="Cambria" w:cs="Calibri"/>
                <w:bCs/>
                <w:sz w:val="20"/>
              </w:rPr>
              <w:t>15h</w:t>
            </w:r>
          </w:p>
        </w:tc>
      </w:tr>
      <w:tr w:rsidR="00842D8B" w:rsidRPr="003B306E" w:rsidTr="00BE1DFC">
        <w:tc>
          <w:tcPr>
            <w:tcW w:w="9668" w:type="dxa"/>
            <w:vAlign w:val="center"/>
          </w:tcPr>
          <w:p w:rsidR="00842D8B" w:rsidRPr="003B306E" w:rsidRDefault="00842D8B" w:rsidP="00BE1DFC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  <w:r w:rsidRPr="003B306E">
              <w:rPr>
                <w:rFonts w:ascii="Cambria" w:hAnsi="Cambria" w:cs="Calibri"/>
                <w:b/>
                <w:sz w:val="20"/>
              </w:rPr>
              <w:t>PROFESSOR(A):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r w:rsidRPr="00025891">
              <w:rPr>
                <w:rFonts w:ascii="Cambria" w:hAnsi="Cambria" w:cs="Calibri"/>
                <w:bCs/>
                <w:sz w:val="20"/>
              </w:rPr>
              <w:t>Edson Franco de Moraes</w:t>
            </w:r>
          </w:p>
        </w:tc>
      </w:tr>
    </w:tbl>
    <w:p w:rsidR="00842D8B" w:rsidRPr="002545C1" w:rsidRDefault="00842D8B" w:rsidP="00842D8B">
      <w:pPr>
        <w:pStyle w:val="Luiz1"/>
        <w:widowControl w:val="0"/>
        <w:tabs>
          <w:tab w:val="left" w:pos="3633"/>
        </w:tabs>
        <w:rPr>
          <w:rFonts w:ascii="Cambria" w:hAnsi="Cambria" w:cs="Calibri"/>
          <w:sz w:val="20"/>
        </w:rPr>
      </w:pPr>
    </w:p>
    <w:p w:rsidR="00842D8B" w:rsidRPr="002545C1" w:rsidRDefault="00842D8B" w:rsidP="00842D8B">
      <w:pPr>
        <w:pStyle w:val="Luiz1"/>
        <w:widowControl w:val="0"/>
        <w:rPr>
          <w:rFonts w:ascii="Cambria" w:hAnsi="Cambria" w:cs="Calibri"/>
          <w:sz w:val="20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6970"/>
        <w:gridCol w:w="1095"/>
      </w:tblGrid>
      <w:tr w:rsidR="00842D8B" w:rsidRPr="002545C1" w:rsidTr="00BE1DFC"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842D8B" w:rsidRPr="002545C1" w:rsidRDefault="00842D8B" w:rsidP="00BE1DFC">
            <w:pPr>
              <w:pStyle w:val="Luiz1"/>
              <w:widowControl w:val="0"/>
              <w:jc w:val="center"/>
              <w:rPr>
                <w:rFonts w:ascii="Cambria" w:hAnsi="Cambria" w:cs="Calibri"/>
                <w:b/>
                <w:sz w:val="20"/>
              </w:rPr>
            </w:pPr>
            <w:r w:rsidRPr="002545C1">
              <w:rPr>
                <w:rFonts w:ascii="Cambria" w:hAnsi="Cambria" w:cs="Calibri"/>
                <w:b/>
                <w:sz w:val="20"/>
              </w:rPr>
              <w:t>OBJETIVO</w:t>
            </w:r>
            <w:r>
              <w:rPr>
                <w:rFonts w:ascii="Cambria" w:hAnsi="Cambria" w:cs="Calibri"/>
                <w:b/>
                <w:sz w:val="20"/>
              </w:rPr>
              <w:t xml:space="preserve"> GERAL</w:t>
            </w:r>
          </w:p>
        </w:tc>
      </w:tr>
      <w:tr w:rsidR="00842D8B" w:rsidRPr="002545C1" w:rsidTr="00BE1DFC">
        <w:tc>
          <w:tcPr>
            <w:tcW w:w="97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8B" w:rsidRPr="003B306E" w:rsidRDefault="00842D8B" w:rsidP="00842D8B">
            <w:pPr>
              <w:pStyle w:val="Recuodecorpodetexto"/>
              <w:widowControl w:val="0"/>
              <w:spacing w:after="0"/>
              <w:ind w:left="0" w:firstLine="567"/>
              <w:jc w:val="both"/>
              <w:rPr>
                <w:rFonts w:ascii="Cambria" w:hAnsi="Cambria" w:cs="Calibri"/>
                <w:sz w:val="20"/>
                <w:szCs w:val="20"/>
                <w:lang w:val="pt-BR" w:eastAsia="pt-BR"/>
              </w:rPr>
            </w:pP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Capacitar os participantes no entendimento da aplicação 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do CPC 27 – Ativo Imobilizado 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>a ser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 aplicado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 para as empresas com fins lucrativos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>.</w:t>
            </w:r>
          </w:p>
        </w:tc>
      </w:tr>
      <w:tr w:rsidR="00842D8B" w:rsidRPr="002545C1" w:rsidTr="00BE1DFC">
        <w:tc>
          <w:tcPr>
            <w:tcW w:w="1682" w:type="dxa"/>
            <w:tcBorders>
              <w:left w:val="nil"/>
              <w:right w:val="nil"/>
            </w:tcBorders>
          </w:tcPr>
          <w:p w:rsidR="00842D8B" w:rsidRPr="002545C1" w:rsidRDefault="00842D8B" w:rsidP="00BE1DFC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6970" w:type="dxa"/>
            <w:tcBorders>
              <w:left w:val="nil"/>
              <w:right w:val="nil"/>
            </w:tcBorders>
          </w:tcPr>
          <w:p w:rsidR="00842D8B" w:rsidRPr="002545C1" w:rsidRDefault="00842D8B" w:rsidP="00BE1DFC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nil"/>
              <w:right w:val="nil"/>
            </w:tcBorders>
          </w:tcPr>
          <w:p w:rsidR="00842D8B" w:rsidRPr="002545C1" w:rsidRDefault="00842D8B" w:rsidP="00BE1DFC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842D8B" w:rsidRPr="002545C1" w:rsidTr="00BE1DFC">
        <w:tc>
          <w:tcPr>
            <w:tcW w:w="86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2D8B" w:rsidRPr="00535D2D" w:rsidRDefault="00842D8B" w:rsidP="00BE1DFC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 w:cs="Calibri"/>
                <w:b/>
                <w:sz w:val="20"/>
              </w:rPr>
            </w:pPr>
            <w:r w:rsidRPr="002545C1">
              <w:rPr>
                <w:rFonts w:ascii="Cambria" w:hAnsi="Cambria" w:cs="Calibri"/>
                <w:b/>
                <w:sz w:val="20"/>
              </w:rPr>
              <w:t>CONTEÚDO PROGRAMÁTICO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</w:tcPr>
          <w:p w:rsidR="00842D8B" w:rsidRPr="002545C1" w:rsidRDefault="00842D8B" w:rsidP="00BE1DFC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 w:cs="Calibri"/>
                <w:b/>
                <w:sz w:val="20"/>
              </w:rPr>
            </w:pPr>
            <w:r>
              <w:rPr>
                <w:rFonts w:ascii="Cambria" w:hAnsi="Cambria" w:cs="Calibri"/>
                <w:b/>
                <w:sz w:val="20"/>
              </w:rPr>
              <w:t>CARGA HORÁRIA</w:t>
            </w:r>
          </w:p>
        </w:tc>
      </w:tr>
      <w:tr w:rsidR="00842D8B" w:rsidRPr="002545C1" w:rsidTr="00BE1DFC">
        <w:tc>
          <w:tcPr>
            <w:tcW w:w="8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8B" w:rsidRPr="003B306E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1. </w:t>
            </w:r>
            <w:r w:rsidRPr="003B306E"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>
              <w:rPr>
                <w:rFonts w:ascii="Cambria" w:hAnsi="Cambria" w:cs="Tahoma"/>
                <w:sz w:val="20"/>
                <w:szCs w:val="20"/>
              </w:rPr>
              <w:t>Objetivo e alcance do CPC 27</w:t>
            </w:r>
          </w:p>
          <w:p w:rsidR="00842D8B" w:rsidRDefault="00842D8B" w:rsidP="00BE1DFC">
            <w:pPr>
              <w:tabs>
                <w:tab w:val="left" w:pos="318"/>
              </w:tabs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>2.</w:t>
            </w:r>
            <w:r w:rsidRPr="003B306E"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>
              <w:rPr>
                <w:rFonts w:ascii="Cambria" w:hAnsi="Cambria" w:cs="Tahoma"/>
                <w:sz w:val="20"/>
                <w:szCs w:val="20"/>
              </w:rPr>
              <w:t>Reconhecimento</w:t>
            </w:r>
          </w:p>
          <w:p w:rsidR="00842D8B" w:rsidRDefault="00842D8B" w:rsidP="00BE1DFC">
            <w:pPr>
              <w:tabs>
                <w:tab w:val="left" w:pos="318"/>
              </w:tabs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     2.1. Custos iniciais</w:t>
            </w:r>
          </w:p>
          <w:p w:rsidR="00842D8B" w:rsidRPr="003B306E" w:rsidRDefault="00842D8B" w:rsidP="00BE1DFC">
            <w:pPr>
              <w:tabs>
                <w:tab w:val="left" w:pos="318"/>
              </w:tabs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     2.2. Custos subsequentes</w:t>
            </w:r>
          </w:p>
          <w:p w:rsidR="00842D8B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3B306E">
              <w:rPr>
                <w:rFonts w:ascii="Cambria" w:hAnsi="Cambria" w:cs="Tahoma"/>
                <w:sz w:val="20"/>
                <w:szCs w:val="20"/>
              </w:rPr>
              <w:t>3</w:t>
            </w:r>
            <w:r>
              <w:rPr>
                <w:rFonts w:ascii="Cambria" w:hAnsi="Cambria" w:cs="Tahoma"/>
                <w:sz w:val="20"/>
                <w:szCs w:val="20"/>
              </w:rPr>
              <w:t>.</w:t>
            </w:r>
            <w:r w:rsidRPr="003B306E"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>
              <w:rPr>
                <w:rFonts w:ascii="Cambria" w:hAnsi="Cambria" w:cs="Tahoma"/>
                <w:sz w:val="20"/>
                <w:szCs w:val="20"/>
              </w:rPr>
              <w:t>Elemento e mensuração dos custos</w:t>
            </w:r>
          </w:p>
          <w:p w:rsidR="00842D8B" w:rsidRDefault="00842D8B" w:rsidP="00BE1DFC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4.  </w:t>
            </w:r>
            <w:r>
              <w:rPr>
                <w:rFonts w:ascii="Cambria" w:hAnsi="Cambria" w:cs="Calibri"/>
                <w:sz w:val="20"/>
                <w:szCs w:val="20"/>
              </w:rPr>
              <w:t>Método do custo</w:t>
            </w:r>
          </w:p>
          <w:p w:rsidR="00842D8B" w:rsidRDefault="00842D8B" w:rsidP="00BE1DFC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5.  </w:t>
            </w:r>
            <w:r>
              <w:rPr>
                <w:rFonts w:ascii="Cambria" w:hAnsi="Cambria" w:cs="Calibri"/>
                <w:sz w:val="20"/>
                <w:szCs w:val="20"/>
              </w:rPr>
              <w:t>Método da reavaliação</w:t>
            </w:r>
          </w:p>
          <w:p w:rsidR="00842D8B" w:rsidRDefault="00842D8B" w:rsidP="00BE1DFC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6.  </w:t>
            </w:r>
            <w:r>
              <w:rPr>
                <w:rFonts w:ascii="Cambria" w:hAnsi="Cambria" w:cs="Calibri"/>
                <w:sz w:val="20"/>
                <w:szCs w:val="20"/>
              </w:rPr>
              <w:t>Depreciação</w:t>
            </w:r>
          </w:p>
          <w:p w:rsidR="00842D8B" w:rsidRDefault="00842D8B" w:rsidP="00842D8B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7. </w:t>
            </w:r>
            <w:r>
              <w:rPr>
                <w:rFonts w:ascii="Cambria" w:hAnsi="Cambria" w:cs="Calibri"/>
                <w:sz w:val="20"/>
                <w:szCs w:val="20"/>
              </w:rPr>
              <w:t>Baixa</w:t>
            </w:r>
          </w:p>
          <w:p w:rsidR="00842D8B" w:rsidRPr="003B306E" w:rsidRDefault="00842D8B" w:rsidP="00842D8B">
            <w:pPr>
              <w:jc w:val="both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8. Divulgação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8B" w:rsidRPr="003B306E" w:rsidRDefault="00842D8B" w:rsidP="00BE1DFC">
            <w:pPr>
              <w:jc w:val="center"/>
              <w:rPr>
                <w:rFonts w:ascii="Cambria" w:hAnsi="Cambria" w:cs="Tahoma"/>
                <w:b/>
                <w:sz w:val="20"/>
                <w:szCs w:val="20"/>
              </w:rPr>
            </w:pPr>
            <w:r>
              <w:rPr>
                <w:rFonts w:ascii="Cambria" w:hAnsi="Cambria" w:cs="Tahoma"/>
                <w:b/>
                <w:sz w:val="20"/>
                <w:szCs w:val="20"/>
              </w:rPr>
              <w:t>15</w:t>
            </w:r>
          </w:p>
        </w:tc>
      </w:tr>
      <w:tr w:rsidR="00842D8B" w:rsidRPr="002545C1" w:rsidTr="00BE1DFC"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</w:tcPr>
          <w:p w:rsidR="00842D8B" w:rsidRPr="002545C1" w:rsidRDefault="00842D8B" w:rsidP="00BE1DFC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</w:p>
        </w:tc>
        <w:tc>
          <w:tcPr>
            <w:tcW w:w="6970" w:type="dxa"/>
            <w:tcBorders>
              <w:left w:val="nil"/>
              <w:bottom w:val="single" w:sz="4" w:space="0" w:color="auto"/>
              <w:right w:val="nil"/>
            </w:tcBorders>
          </w:tcPr>
          <w:p w:rsidR="00842D8B" w:rsidRPr="002545C1" w:rsidRDefault="00842D8B" w:rsidP="00BE1DFC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nil"/>
            </w:tcBorders>
          </w:tcPr>
          <w:p w:rsidR="00842D8B" w:rsidRPr="002545C1" w:rsidRDefault="00842D8B" w:rsidP="00BE1DFC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</w:p>
        </w:tc>
      </w:tr>
      <w:tr w:rsidR="00842D8B" w:rsidRPr="002545C1" w:rsidTr="00BE1DFC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42D8B" w:rsidRPr="002545C1" w:rsidRDefault="00842D8B" w:rsidP="00BE1DFC">
            <w:pPr>
              <w:pStyle w:val="Luiz1"/>
              <w:widowControl w:val="0"/>
              <w:jc w:val="center"/>
              <w:rPr>
                <w:rFonts w:ascii="Cambria" w:hAnsi="Cambria" w:cs="Calibri"/>
                <w:b/>
                <w:sz w:val="20"/>
              </w:rPr>
            </w:pPr>
            <w:r w:rsidRPr="002545C1">
              <w:rPr>
                <w:rFonts w:ascii="Cambria" w:hAnsi="Cambria" w:cs="Calibri"/>
                <w:b/>
                <w:sz w:val="20"/>
              </w:rPr>
              <w:t>ESTRATÉGIAS DE ENSINO</w:t>
            </w:r>
          </w:p>
        </w:tc>
      </w:tr>
      <w:tr w:rsidR="00842D8B" w:rsidRPr="002545C1" w:rsidTr="00BE1DF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8B" w:rsidRPr="003B306E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bookmarkStart w:id="0" w:name="_GoBack"/>
            <w:bookmarkEnd w:id="0"/>
          </w:p>
          <w:p w:rsidR="00842D8B" w:rsidRPr="00120022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20022">
              <w:rPr>
                <w:rFonts w:ascii="Cambria" w:hAnsi="Cambria" w:cs="Tahoma"/>
                <w:sz w:val="20"/>
                <w:szCs w:val="20"/>
              </w:rPr>
              <w:t>• O curso utilizará a plataforma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do </w:t>
            </w:r>
            <w:r w:rsidRPr="00120022">
              <w:rPr>
                <w:rFonts w:ascii="Cambria" w:hAnsi="Cambria" w:cs="Tahoma"/>
                <w:sz w:val="20"/>
                <w:szCs w:val="20"/>
              </w:rPr>
              <w:t xml:space="preserve"> SIGAA</w:t>
            </w:r>
            <w:r>
              <w:rPr>
                <w:rFonts w:ascii="Cambria" w:hAnsi="Cambria" w:cs="Tahoma"/>
                <w:sz w:val="20"/>
                <w:szCs w:val="20"/>
              </w:rPr>
              <w:t>, e o</w:t>
            </w:r>
            <w:r w:rsidRPr="00120022">
              <w:rPr>
                <w:rFonts w:ascii="Cambria" w:hAnsi="Cambria" w:cs="Tahoma"/>
                <w:sz w:val="20"/>
                <w:szCs w:val="20"/>
              </w:rPr>
              <w:t>utras plataformas de interatividade como também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 w:rsidRPr="00120022">
              <w:rPr>
                <w:rFonts w:ascii="Cambria" w:hAnsi="Cambria" w:cs="Tahoma"/>
                <w:sz w:val="20"/>
                <w:szCs w:val="20"/>
              </w:rPr>
              <w:t>ambientes virtuais de aprendizagem poderão ser usados, como os do GOOGLE.</w:t>
            </w:r>
          </w:p>
          <w:p w:rsidR="00842D8B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20022">
              <w:rPr>
                <w:rFonts w:ascii="Cambria" w:hAnsi="Cambria" w:cs="Tahoma"/>
                <w:sz w:val="20"/>
                <w:szCs w:val="20"/>
              </w:rPr>
              <w:t>• O curso será ministrado principalmente por meio de vídeo-aulas assíncronas, com explicação do conteúdo em forma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 w:rsidRPr="00120022">
              <w:rPr>
                <w:rFonts w:ascii="Cambria" w:hAnsi="Cambria" w:cs="Tahoma"/>
                <w:sz w:val="20"/>
                <w:szCs w:val="20"/>
              </w:rPr>
              <w:t>de teoria</w:t>
            </w:r>
            <w:r>
              <w:rPr>
                <w:rFonts w:ascii="Cambria" w:hAnsi="Cambria" w:cs="Tahoma"/>
                <w:sz w:val="20"/>
                <w:szCs w:val="20"/>
              </w:rPr>
              <w:t>.</w:t>
            </w:r>
          </w:p>
          <w:p w:rsidR="00842D8B" w:rsidRPr="00120022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20022">
              <w:rPr>
                <w:rFonts w:ascii="Cambria" w:hAnsi="Cambria" w:cs="Tahoma"/>
                <w:sz w:val="20"/>
                <w:szCs w:val="20"/>
              </w:rPr>
              <w:t>• As vídeo-aulas permanecerão disponibilizadas enquanto o curso durar, para que o aluno estude no seu tempo. Essas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 w:rsidRPr="00120022">
              <w:rPr>
                <w:rFonts w:ascii="Cambria" w:hAnsi="Cambria" w:cs="Tahoma"/>
                <w:sz w:val="20"/>
                <w:szCs w:val="20"/>
              </w:rPr>
              <w:t>vídeo-aulas serão disponibilizadas na medida do andamento do curso e elas se referem aos tópicos do programa.</w:t>
            </w:r>
          </w:p>
          <w:p w:rsidR="00842D8B" w:rsidRPr="00120022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20022">
              <w:rPr>
                <w:rFonts w:ascii="Cambria" w:hAnsi="Cambria" w:cs="Tahoma"/>
                <w:sz w:val="20"/>
                <w:szCs w:val="20"/>
              </w:rPr>
              <w:t>• Nos dias e horários da aula constantes no SIGAA, serão realizados encontros</w:t>
            </w:r>
            <w:r>
              <w:rPr>
                <w:rFonts w:ascii="Cambria" w:hAnsi="Cambria" w:cs="Tahoma"/>
                <w:sz w:val="20"/>
                <w:szCs w:val="20"/>
              </w:rPr>
              <w:t xml:space="preserve"> virtuais</w:t>
            </w:r>
            <w:r w:rsidRPr="00120022">
              <w:rPr>
                <w:rFonts w:ascii="Cambria" w:hAnsi="Cambria" w:cs="Tahoma"/>
                <w:sz w:val="20"/>
                <w:szCs w:val="20"/>
              </w:rPr>
              <w:t xml:space="preserve"> com as seguintes finalidades:</w:t>
            </w:r>
          </w:p>
          <w:p w:rsidR="00842D8B" w:rsidRPr="00120022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20022">
              <w:rPr>
                <w:rFonts w:ascii="Cambria" w:hAnsi="Cambria" w:cs="Tahoma"/>
                <w:sz w:val="20"/>
                <w:szCs w:val="20"/>
              </w:rPr>
              <w:t>a) Esclarecimento das dúvidas.</w:t>
            </w:r>
          </w:p>
          <w:p w:rsidR="00842D8B" w:rsidRPr="00120022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20022">
              <w:rPr>
                <w:rFonts w:ascii="Cambria" w:hAnsi="Cambria" w:cs="Tahoma"/>
                <w:sz w:val="20"/>
                <w:szCs w:val="20"/>
              </w:rPr>
              <w:t>b) Correção e discussão coletiva de exercícios</w:t>
            </w:r>
            <w:r>
              <w:rPr>
                <w:rFonts w:ascii="Cambria" w:hAnsi="Cambria" w:cs="Tahoma"/>
                <w:sz w:val="20"/>
                <w:szCs w:val="20"/>
              </w:rPr>
              <w:t>.</w:t>
            </w:r>
          </w:p>
          <w:p w:rsidR="00842D8B" w:rsidRPr="00120022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20022">
              <w:rPr>
                <w:rFonts w:ascii="Cambria" w:hAnsi="Cambria" w:cs="Tahoma"/>
                <w:sz w:val="20"/>
                <w:szCs w:val="20"/>
              </w:rPr>
              <w:t>d) Leituras complementares (debate, discussão, sínteses) quando for necessário</w:t>
            </w:r>
            <w:r>
              <w:rPr>
                <w:rFonts w:ascii="Cambria" w:hAnsi="Cambria" w:cs="Tahoma"/>
                <w:sz w:val="20"/>
                <w:szCs w:val="20"/>
              </w:rPr>
              <w:t>.</w:t>
            </w:r>
          </w:p>
          <w:p w:rsidR="00842D8B" w:rsidRPr="00120022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20022">
              <w:rPr>
                <w:rFonts w:ascii="Cambria" w:hAnsi="Cambria" w:cs="Tahoma"/>
                <w:sz w:val="20"/>
                <w:szCs w:val="20"/>
              </w:rPr>
              <w:t>Previamente será enviado um link para o acesso à plataforma a ser escolhida.</w:t>
            </w:r>
          </w:p>
          <w:p w:rsidR="00842D8B" w:rsidRPr="003B306E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</w:p>
        </w:tc>
      </w:tr>
      <w:tr w:rsidR="00842D8B" w:rsidRPr="002545C1" w:rsidTr="00BE1DFC"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D8B" w:rsidRPr="002545C1" w:rsidRDefault="00842D8B" w:rsidP="00BE1DFC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</w:p>
        </w:tc>
        <w:tc>
          <w:tcPr>
            <w:tcW w:w="6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D8B" w:rsidRPr="002545C1" w:rsidRDefault="00842D8B" w:rsidP="00BE1DFC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D8B" w:rsidRPr="002545C1" w:rsidRDefault="00842D8B" w:rsidP="00BE1DFC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</w:p>
        </w:tc>
      </w:tr>
      <w:tr w:rsidR="00842D8B" w:rsidRPr="002545C1" w:rsidTr="00BE1DF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8B" w:rsidRPr="002545C1" w:rsidRDefault="00842D8B" w:rsidP="00BE1DFC">
            <w:pPr>
              <w:widowControl w:val="0"/>
              <w:autoSpaceDE w:val="0"/>
              <w:autoSpaceDN w:val="0"/>
              <w:jc w:val="center"/>
              <w:rPr>
                <w:rFonts w:ascii="Cambria" w:hAnsi="Cambria" w:cs="Calibri"/>
                <w:b/>
                <w:sz w:val="20"/>
              </w:rPr>
            </w:pPr>
            <w:r w:rsidRPr="002545C1">
              <w:rPr>
                <w:rFonts w:ascii="Cambria" w:hAnsi="Cambria" w:cs="Calibri"/>
                <w:b/>
                <w:sz w:val="20"/>
              </w:rPr>
              <w:t>AVALIAÇÃO DA APRENDIZAGEM</w:t>
            </w:r>
          </w:p>
        </w:tc>
      </w:tr>
      <w:tr w:rsidR="00842D8B" w:rsidRPr="002545C1" w:rsidTr="00BE1DF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8B" w:rsidRPr="004A129F" w:rsidRDefault="00842D8B" w:rsidP="00BE1DFC">
            <w:pPr>
              <w:pStyle w:val="Recuodecorpodetexto2"/>
              <w:widowControl w:val="0"/>
              <w:jc w:val="both"/>
              <w:rPr>
                <w:rFonts w:ascii="Cambria" w:hAnsi="Cambria" w:cs="Calibri"/>
                <w:sz w:val="20"/>
                <w:szCs w:val="20"/>
                <w:lang w:val="pt-BR" w:eastAsia="pt-BR"/>
              </w:rPr>
            </w:pP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>A nota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 final do curso será </w:t>
            </w: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 computada do seguinte modo:</w:t>
            </w:r>
          </w:p>
          <w:p w:rsidR="00842D8B" w:rsidRDefault="00842D8B" w:rsidP="00BE1DFC">
            <w:pPr>
              <w:pStyle w:val="Recuodecorpodetexto2"/>
              <w:widowControl w:val="0"/>
              <w:jc w:val="both"/>
              <w:rPr>
                <w:rFonts w:ascii="Cambria" w:hAnsi="Cambria" w:cs="Calibri"/>
                <w:sz w:val="20"/>
                <w:szCs w:val="20"/>
                <w:lang w:val="pt-BR" w:eastAsia="pt-BR"/>
              </w:rPr>
            </w:pP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• 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>Trabalhos</w:t>
            </w: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 entregues no prazo determinado valerão 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>70</w:t>
            </w: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% da nota. </w:t>
            </w:r>
          </w:p>
          <w:p w:rsidR="00842D8B" w:rsidRPr="004A129F" w:rsidRDefault="00842D8B" w:rsidP="00BE1DFC">
            <w:pPr>
              <w:pStyle w:val="Recuodecorpodetexto2"/>
              <w:widowControl w:val="0"/>
              <w:jc w:val="both"/>
              <w:rPr>
                <w:rFonts w:ascii="Cambria" w:hAnsi="Cambria" w:cs="Calibri"/>
                <w:sz w:val="20"/>
                <w:szCs w:val="20"/>
                <w:lang w:val="pt-BR" w:eastAsia="pt-BR"/>
              </w:rPr>
            </w:pP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• 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>Aplicação de um questionário ao final do curso que valerá 20% da nota</w:t>
            </w: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>.</w:t>
            </w:r>
          </w:p>
          <w:p w:rsidR="00842D8B" w:rsidRPr="004A129F" w:rsidRDefault="00842D8B" w:rsidP="00BE1DFC">
            <w:pPr>
              <w:pStyle w:val="Recuodecorpodetexto2"/>
              <w:widowControl w:val="0"/>
              <w:jc w:val="both"/>
              <w:rPr>
                <w:rFonts w:ascii="Cambria" w:hAnsi="Cambria" w:cs="Calibri"/>
                <w:sz w:val="20"/>
                <w:szCs w:val="20"/>
                <w:lang w:val="pt-BR" w:eastAsia="pt-BR"/>
              </w:rPr>
            </w:pP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>• Participação e interesse nos encontros. É uma maneira relativa de avaliar a presença e assiduidade do aluno nos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 </w:t>
            </w: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>encontros e o seu interesse nas discus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>sões em relação aos conteúdos do</w:t>
            </w: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 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>curso</w:t>
            </w: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. Corresponde a 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>1</w:t>
            </w: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>0% da nota de</w:t>
            </w:r>
            <w:r>
              <w:rPr>
                <w:rFonts w:ascii="Cambria" w:hAnsi="Cambria" w:cs="Calibri"/>
                <w:sz w:val="20"/>
                <w:szCs w:val="20"/>
                <w:lang w:val="pt-BR" w:eastAsia="pt-BR"/>
              </w:rPr>
              <w:t xml:space="preserve"> </w:t>
            </w: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>cada avaliação.</w:t>
            </w:r>
          </w:p>
          <w:p w:rsidR="00842D8B" w:rsidRPr="00C61E85" w:rsidRDefault="00842D8B" w:rsidP="00BE1DFC">
            <w:pPr>
              <w:pStyle w:val="Recuodecorpodetexto2"/>
              <w:widowControl w:val="0"/>
              <w:spacing w:after="0" w:line="240" w:lineRule="auto"/>
              <w:ind w:left="0"/>
              <w:jc w:val="both"/>
              <w:rPr>
                <w:rFonts w:ascii="Cambria" w:hAnsi="Cambria" w:cs="Calibri"/>
                <w:sz w:val="20"/>
                <w:szCs w:val="20"/>
                <w:lang w:val="pt-BR" w:eastAsia="pt-BR"/>
              </w:rPr>
            </w:pPr>
            <w:r w:rsidRPr="004A129F">
              <w:rPr>
                <w:rFonts w:ascii="Cambria" w:hAnsi="Cambria" w:cs="Calibri"/>
                <w:sz w:val="20"/>
                <w:szCs w:val="20"/>
                <w:lang w:val="pt-BR" w:eastAsia="pt-BR"/>
              </w:rPr>
              <w:t>• A frequência será computada com base na entrega dos exercícios e na participação nas discussões</w:t>
            </w:r>
          </w:p>
        </w:tc>
      </w:tr>
      <w:tr w:rsidR="00842D8B" w:rsidRPr="002545C1" w:rsidTr="00BE1DFC"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</w:tcPr>
          <w:p w:rsidR="00842D8B" w:rsidRPr="002545C1" w:rsidRDefault="00842D8B" w:rsidP="00BE1DFC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</w:p>
        </w:tc>
        <w:tc>
          <w:tcPr>
            <w:tcW w:w="6970" w:type="dxa"/>
            <w:tcBorders>
              <w:left w:val="nil"/>
              <w:bottom w:val="single" w:sz="4" w:space="0" w:color="auto"/>
              <w:right w:val="nil"/>
            </w:tcBorders>
          </w:tcPr>
          <w:p w:rsidR="00842D8B" w:rsidRPr="002545C1" w:rsidRDefault="00842D8B" w:rsidP="00BE1DFC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nil"/>
            </w:tcBorders>
          </w:tcPr>
          <w:p w:rsidR="00842D8B" w:rsidRPr="002545C1" w:rsidRDefault="00842D8B" w:rsidP="00BE1DFC">
            <w:pPr>
              <w:pStyle w:val="Luiz1"/>
              <w:widowControl w:val="0"/>
              <w:rPr>
                <w:rFonts w:ascii="Cambria" w:hAnsi="Cambria" w:cs="Calibri"/>
                <w:b/>
                <w:sz w:val="20"/>
              </w:rPr>
            </w:pPr>
          </w:p>
        </w:tc>
      </w:tr>
      <w:tr w:rsidR="00842D8B" w:rsidRPr="002545C1" w:rsidTr="00BE1DF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8B" w:rsidRDefault="00842D8B" w:rsidP="00BE1DFC">
            <w:pPr>
              <w:pStyle w:val="Recuodecorpodetexto2"/>
              <w:widowControl w:val="0"/>
              <w:spacing w:after="0" w:line="240" w:lineRule="auto"/>
              <w:ind w:left="0"/>
              <w:jc w:val="center"/>
              <w:rPr>
                <w:rFonts w:ascii="Cambria" w:hAnsi="Cambria" w:cs="Calibri"/>
                <w:b/>
                <w:sz w:val="20"/>
                <w:lang w:val="pt-BR" w:eastAsia="pt-BR"/>
              </w:rPr>
            </w:pPr>
          </w:p>
          <w:p w:rsidR="00842D8B" w:rsidRDefault="00842D8B" w:rsidP="00BE1DFC">
            <w:pPr>
              <w:pStyle w:val="Recuodecorpodetexto2"/>
              <w:widowControl w:val="0"/>
              <w:spacing w:after="0" w:line="240" w:lineRule="auto"/>
              <w:ind w:left="0"/>
              <w:jc w:val="center"/>
              <w:rPr>
                <w:rFonts w:ascii="Cambria" w:hAnsi="Cambria" w:cs="Calibri"/>
                <w:b/>
                <w:sz w:val="20"/>
                <w:lang w:val="pt-BR" w:eastAsia="pt-BR"/>
              </w:rPr>
            </w:pPr>
          </w:p>
          <w:p w:rsidR="00842D8B" w:rsidRPr="00C61E85" w:rsidRDefault="00842D8B" w:rsidP="00BE1DFC">
            <w:pPr>
              <w:pStyle w:val="Recuodecorpodetexto2"/>
              <w:widowControl w:val="0"/>
              <w:spacing w:after="0" w:line="240" w:lineRule="auto"/>
              <w:ind w:left="0"/>
              <w:jc w:val="center"/>
              <w:rPr>
                <w:rFonts w:ascii="Cambria" w:hAnsi="Cambria" w:cs="Calibri"/>
                <w:b/>
                <w:sz w:val="20"/>
                <w:lang w:val="pt-BR" w:eastAsia="pt-BR"/>
              </w:rPr>
            </w:pPr>
            <w:r>
              <w:rPr>
                <w:rFonts w:ascii="Cambria" w:hAnsi="Cambria" w:cs="Calibri"/>
                <w:b/>
                <w:sz w:val="20"/>
                <w:lang w:val="pt-BR" w:eastAsia="pt-BR"/>
              </w:rPr>
              <w:t>REFERÊNCIAS</w:t>
            </w:r>
          </w:p>
        </w:tc>
      </w:tr>
      <w:tr w:rsidR="00842D8B" w:rsidRPr="002545C1" w:rsidTr="00BE1DF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8B" w:rsidRPr="003B306E" w:rsidRDefault="00842D8B" w:rsidP="00BE1DFC">
            <w:pPr>
              <w:jc w:val="both"/>
              <w:rPr>
                <w:rFonts w:ascii="Cambria" w:hAnsi="Cambria" w:cs="Tahoma"/>
                <w:b/>
                <w:sz w:val="20"/>
                <w:szCs w:val="20"/>
              </w:rPr>
            </w:pPr>
          </w:p>
          <w:p w:rsidR="00842D8B" w:rsidRPr="003B306E" w:rsidRDefault="00842D8B" w:rsidP="00BE1DFC">
            <w:pPr>
              <w:jc w:val="both"/>
              <w:rPr>
                <w:rFonts w:ascii="Cambria" w:hAnsi="Cambria" w:cs="Tahoma"/>
                <w:b/>
                <w:sz w:val="20"/>
                <w:szCs w:val="20"/>
                <w:u w:val="single"/>
              </w:rPr>
            </w:pPr>
            <w:r w:rsidRPr="003B306E">
              <w:rPr>
                <w:rFonts w:ascii="Cambria" w:hAnsi="Cambria" w:cs="Tahoma"/>
                <w:b/>
                <w:sz w:val="20"/>
                <w:szCs w:val="20"/>
                <w:u w:val="single"/>
              </w:rPr>
              <w:t>BÁSICA</w:t>
            </w:r>
          </w:p>
          <w:p w:rsidR="00842D8B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</w:p>
          <w:p w:rsidR="00842D8B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5274E">
              <w:rPr>
                <w:rFonts w:ascii="Cambria" w:hAnsi="Cambria" w:cs="Tahoma"/>
                <w:sz w:val="20"/>
                <w:szCs w:val="20"/>
              </w:rPr>
              <w:t>Ernesto Rubens Gelbcke ... [et al.]</w:t>
            </w:r>
            <w:r>
              <w:rPr>
                <w:rFonts w:ascii="Cambria" w:hAnsi="Cambria" w:cs="Tahoma"/>
                <w:sz w:val="20"/>
                <w:szCs w:val="20"/>
              </w:rPr>
              <w:t xml:space="preserve">; </w:t>
            </w:r>
            <w:r w:rsidRPr="0015274E">
              <w:rPr>
                <w:rFonts w:ascii="Cambria" w:hAnsi="Cambria" w:cs="Tahoma"/>
                <w:b/>
                <w:bCs/>
                <w:sz w:val="20"/>
                <w:szCs w:val="20"/>
              </w:rPr>
              <w:t>Manual de contabilidade societária</w:t>
            </w:r>
            <w:r w:rsidRPr="004A129F">
              <w:rPr>
                <w:rFonts w:ascii="Cambria" w:hAnsi="Cambria" w:cs="Tahoma"/>
                <w:sz w:val="20"/>
                <w:szCs w:val="20"/>
              </w:rPr>
              <w:t xml:space="preserve"> : </w:t>
            </w:r>
            <w:r w:rsidRPr="0015274E">
              <w:rPr>
                <w:rFonts w:ascii="Cambria" w:hAnsi="Cambria" w:cs="Tahoma"/>
                <w:b/>
                <w:bCs/>
                <w:sz w:val="20"/>
                <w:szCs w:val="20"/>
              </w:rPr>
              <w:t>aplicável a todas as sociedades</w:t>
            </w:r>
            <w:r w:rsidRPr="004A129F"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 w:rsidRPr="0015274E">
              <w:rPr>
                <w:rFonts w:ascii="Cambria" w:hAnsi="Cambria" w:cs="Tahoma"/>
                <w:b/>
                <w:bCs/>
                <w:sz w:val="20"/>
                <w:szCs w:val="20"/>
              </w:rPr>
              <w:t>de acordo com as normas internacionais e do CPC</w:t>
            </w:r>
            <w:r>
              <w:rPr>
                <w:rFonts w:ascii="Cambria" w:hAnsi="Cambria" w:cs="Tahoma"/>
                <w:sz w:val="20"/>
                <w:szCs w:val="20"/>
              </w:rPr>
              <w:t>.</w:t>
            </w:r>
            <w:r w:rsidRPr="004A129F">
              <w:rPr>
                <w:rFonts w:ascii="Cambria" w:hAnsi="Cambria" w:cs="Tahoma"/>
                <w:sz w:val="20"/>
                <w:szCs w:val="20"/>
              </w:rPr>
              <w:t xml:space="preserve"> 3. ed. – [2. Reimpr.]. São Paulo: Atlas, 2018.</w:t>
            </w:r>
          </w:p>
          <w:p w:rsidR="00842D8B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</w:p>
          <w:p w:rsidR="00842D8B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5274E">
              <w:rPr>
                <w:rFonts w:ascii="Cambria" w:hAnsi="Cambria" w:cs="Tahoma"/>
                <w:sz w:val="20"/>
                <w:szCs w:val="20"/>
              </w:rPr>
              <w:t xml:space="preserve">Marcelo Cavalcanti Almeida. </w:t>
            </w:r>
            <w:r w:rsidRPr="0015274E">
              <w:rPr>
                <w:rFonts w:ascii="Cambria" w:hAnsi="Cambria" w:cs="Tahoma"/>
                <w:b/>
                <w:bCs/>
                <w:sz w:val="20"/>
                <w:szCs w:val="20"/>
              </w:rPr>
              <w:t>Contabilidade societária</w:t>
            </w:r>
            <w:r w:rsidRPr="0015274E">
              <w:rPr>
                <w:rFonts w:ascii="Cambria" w:hAnsi="Cambria" w:cs="Tahoma"/>
                <w:sz w:val="20"/>
                <w:szCs w:val="20"/>
              </w:rPr>
              <w:t>.</w:t>
            </w:r>
            <w:r>
              <w:rPr>
                <w:rFonts w:ascii="Cambria" w:hAnsi="Cambria" w:cs="Tahoma"/>
                <w:sz w:val="20"/>
                <w:szCs w:val="20"/>
              </w:rPr>
              <w:t>3. ed.</w:t>
            </w:r>
            <w:r w:rsidRPr="0015274E">
              <w:rPr>
                <w:rFonts w:ascii="Cambria" w:hAnsi="Cambria" w:cs="Tahoma"/>
                <w:sz w:val="20"/>
                <w:szCs w:val="20"/>
              </w:rPr>
              <w:t xml:space="preserve"> </w:t>
            </w:r>
            <w:r>
              <w:rPr>
                <w:rFonts w:ascii="Cambria" w:hAnsi="Cambria" w:cs="Tahoma"/>
                <w:sz w:val="20"/>
                <w:szCs w:val="20"/>
              </w:rPr>
              <w:t>São Paulo:</w:t>
            </w:r>
            <w:r w:rsidRPr="0015274E">
              <w:rPr>
                <w:rFonts w:ascii="Cambria" w:hAnsi="Cambria" w:cs="Tahoma"/>
                <w:sz w:val="20"/>
                <w:szCs w:val="20"/>
              </w:rPr>
              <w:t xml:space="preserve"> Atlas. 2018 .</w:t>
            </w:r>
          </w:p>
          <w:p w:rsidR="00842D8B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</w:p>
          <w:p w:rsidR="00842D8B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5274E">
              <w:rPr>
                <w:rFonts w:ascii="Cambria" w:hAnsi="Cambria" w:cs="Tahoma"/>
                <w:sz w:val="20"/>
                <w:szCs w:val="20"/>
              </w:rPr>
              <w:t xml:space="preserve">Marcelo Cavalcanti Almeida. </w:t>
            </w:r>
            <w:r w:rsidRPr="0015274E">
              <w:rPr>
                <w:rFonts w:ascii="Cambria" w:hAnsi="Cambria" w:cs="Tahoma"/>
                <w:b/>
                <w:bCs/>
                <w:sz w:val="20"/>
                <w:szCs w:val="20"/>
              </w:rPr>
              <w:t>Contabilidade intermediária em IFRS e CPC</w:t>
            </w:r>
            <w:r w:rsidRPr="0015274E">
              <w:rPr>
                <w:rFonts w:ascii="Cambria" w:hAnsi="Cambria" w:cs="Tahoma"/>
                <w:sz w:val="20"/>
                <w:szCs w:val="20"/>
              </w:rPr>
              <w:t>. 3</w:t>
            </w:r>
            <w:r>
              <w:rPr>
                <w:rFonts w:ascii="Cambria" w:hAnsi="Cambria" w:cs="Tahoma"/>
                <w:sz w:val="20"/>
                <w:szCs w:val="20"/>
              </w:rPr>
              <w:t>. ed</w:t>
            </w:r>
            <w:r w:rsidRPr="0015274E">
              <w:rPr>
                <w:rFonts w:ascii="Cambria" w:hAnsi="Cambria" w:cs="Tahoma"/>
                <w:sz w:val="20"/>
                <w:szCs w:val="20"/>
              </w:rPr>
              <w:t>. Atlas. 2018</w:t>
            </w:r>
          </w:p>
          <w:p w:rsidR="00842D8B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</w:p>
          <w:p w:rsidR="00842D8B" w:rsidRDefault="00842D8B" w:rsidP="00BE1DFC">
            <w:pPr>
              <w:jc w:val="both"/>
              <w:rPr>
                <w:rFonts w:ascii="Cambria" w:hAnsi="Cambria" w:cs="Tahoma"/>
                <w:b/>
                <w:sz w:val="20"/>
                <w:szCs w:val="20"/>
                <w:u w:val="single"/>
              </w:rPr>
            </w:pPr>
          </w:p>
          <w:p w:rsidR="00842D8B" w:rsidRPr="003B306E" w:rsidRDefault="00842D8B" w:rsidP="00BE1DFC">
            <w:pPr>
              <w:jc w:val="both"/>
              <w:rPr>
                <w:rFonts w:ascii="Cambria" w:hAnsi="Cambria" w:cs="Tahoma"/>
                <w:b/>
                <w:sz w:val="20"/>
                <w:szCs w:val="20"/>
                <w:u w:val="single"/>
              </w:rPr>
            </w:pPr>
            <w:r w:rsidRPr="003B306E">
              <w:rPr>
                <w:rFonts w:ascii="Cambria" w:hAnsi="Cambria" w:cs="Tahoma"/>
                <w:b/>
                <w:sz w:val="20"/>
                <w:szCs w:val="20"/>
                <w:u w:val="single"/>
              </w:rPr>
              <w:t>COMPLEMENTAR</w:t>
            </w:r>
          </w:p>
          <w:p w:rsidR="00842D8B" w:rsidRPr="003B306E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</w:p>
          <w:p w:rsidR="00842D8B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15274E">
              <w:rPr>
                <w:rFonts w:ascii="Cambria" w:hAnsi="Cambria" w:cs="Tahoma"/>
                <w:sz w:val="20"/>
                <w:szCs w:val="20"/>
              </w:rPr>
              <w:t xml:space="preserve">Marcelo Cavalcanti Almeida. </w:t>
            </w:r>
            <w:r w:rsidRPr="0015274E">
              <w:rPr>
                <w:rFonts w:ascii="Cambria" w:hAnsi="Cambria" w:cs="Tahoma"/>
                <w:b/>
                <w:bCs/>
                <w:sz w:val="20"/>
                <w:szCs w:val="20"/>
              </w:rPr>
              <w:t>Contabilidade i</w:t>
            </w:r>
            <w:r>
              <w:rPr>
                <w:rFonts w:ascii="Cambria" w:hAnsi="Cambria" w:cs="Tahoma"/>
                <w:b/>
                <w:bCs/>
                <w:sz w:val="20"/>
                <w:szCs w:val="20"/>
              </w:rPr>
              <w:t>ntrodutória</w:t>
            </w:r>
            <w:r w:rsidRPr="0015274E">
              <w:rPr>
                <w:rFonts w:ascii="Cambria" w:hAnsi="Cambria" w:cs="Tahoma"/>
                <w:b/>
                <w:bCs/>
                <w:sz w:val="20"/>
                <w:szCs w:val="20"/>
              </w:rPr>
              <w:t xml:space="preserve"> IFRS e CPC</w:t>
            </w:r>
            <w:r w:rsidRPr="0015274E">
              <w:rPr>
                <w:rFonts w:ascii="Cambria" w:hAnsi="Cambria" w:cs="Tahoma"/>
                <w:sz w:val="20"/>
                <w:szCs w:val="20"/>
              </w:rPr>
              <w:t>. 3</w:t>
            </w:r>
            <w:r>
              <w:rPr>
                <w:rFonts w:ascii="Cambria" w:hAnsi="Cambria" w:cs="Tahoma"/>
                <w:sz w:val="20"/>
                <w:szCs w:val="20"/>
              </w:rPr>
              <w:t>. ed</w:t>
            </w:r>
            <w:r w:rsidRPr="0015274E">
              <w:rPr>
                <w:rFonts w:ascii="Cambria" w:hAnsi="Cambria" w:cs="Tahoma"/>
                <w:sz w:val="20"/>
                <w:szCs w:val="20"/>
              </w:rPr>
              <w:t>. Atlas. 2018</w:t>
            </w:r>
          </w:p>
          <w:p w:rsidR="00842D8B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</w:p>
          <w:p w:rsidR="00842D8B" w:rsidRPr="003B306E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Tahoma"/>
                <w:sz w:val="20"/>
                <w:szCs w:val="20"/>
              </w:rPr>
              <w:t xml:space="preserve">CPC 00 - </w:t>
            </w:r>
            <w:r>
              <w:rPr>
                <w:rFonts w:ascii="Cambria" w:hAnsi="Cambria" w:cs="Calibri"/>
                <w:sz w:val="20"/>
                <w:szCs w:val="20"/>
              </w:rPr>
              <w:t>Estrutura Conceitual para Relatório Contábil</w:t>
            </w:r>
          </w:p>
          <w:p w:rsidR="00842D8B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</w:p>
          <w:p w:rsidR="00842D8B" w:rsidRPr="004A129F" w:rsidRDefault="00842D8B" w:rsidP="00BE1DFC">
            <w:pPr>
              <w:jc w:val="both"/>
              <w:rPr>
                <w:rFonts w:ascii="Cambria" w:hAnsi="Cambria" w:cs="Tahoma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CPC 26 – Apresentação das Demonstrações Contábeis</w:t>
            </w:r>
          </w:p>
          <w:p w:rsidR="00842D8B" w:rsidRPr="003B306E" w:rsidRDefault="00842D8B" w:rsidP="00BE1DFC">
            <w:pPr>
              <w:jc w:val="both"/>
              <w:rPr>
                <w:rFonts w:ascii="Cambria" w:hAnsi="Cambria" w:cs="Tahoma"/>
                <w:b/>
                <w:sz w:val="20"/>
                <w:szCs w:val="20"/>
              </w:rPr>
            </w:pPr>
          </w:p>
        </w:tc>
      </w:tr>
      <w:tr w:rsidR="00842D8B" w:rsidRPr="003A2953" w:rsidTr="00BE1DFC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D8B" w:rsidRPr="00AF28A4" w:rsidRDefault="00842D8B" w:rsidP="00BE1DFC">
            <w:pPr>
              <w:pStyle w:val="unnamed2"/>
              <w:widowControl w:val="0"/>
              <w:spacing w:before="0" w:beforeAutospacing="0" w:after="0" w:afterAutospacing="0"/>
              <w:jc w:val="center"/>
              <w:rPr>
                <w:rStyle w:val="unnamed31"/>
                <w:rFonts w:ascii="Cambria" w:hAnsi="Cambria" w:cs="Calibri"/>
                <w:bCs w:val="0"/>
              </w:rPr>
            </w:pPr>
            <w:r w:rsidRPr="00AF28A4">
              <w:rPr>
                <w:rStyle w:val="unnamed31"/>
                <w:rFonts w:ascii="Cambria" w:hAnsi="Cambria" w:cs="Calibri"/>
                <w:bCs w:val="0"/>
              </w:rPr>
              <w:t>Links para pesquisa em Periódicos Classificados e Recomendados:</w:t>
            </w:r>
          </w:p>
          <w:p w:rsidR="00842D8B" w:rsidRPr="00F56246" w:rsidRDefault="00842D8B" w:rsidP="00BE1DFC">
            <w:pPr>
              <w:pStyle w:val="unnamed2"/>
              <w:widowControl w:val="0"/>
              <w:spacing w:before="0" w:beforeAutospacing="0" w:after="0" w:afterAutospacing="0"/>
              <w:rPr>
                <w:rStyle w:val="unnamed31"/>
                <w:rFonts w:ascii="Cambria" w:hAnsi="Cambria" w:cs="Calibri"/>
                <w:bCs w:val="0"/>
                <w:sz w:val="24"/>
                <w:szCs w:val="24"/>
              </w:rPr>
            </w:pPr>
          </w:p>
          <w:p w:rsidR="00842D8B" w:rsidRPr="00F56246" w:rsidRDefault="00842D8B" w:rsidP="00BE1DFC">
            <w:pPr>
              <w:pStyle w:val="Recuodecorpodetexto"/>
              <w:ind w:left="34"/>
              <w:jc w:val="both"/>
              <w:rPr>
                <w:rFonts w:ascii="Cambria" w:hAnsi="Cambria" w:cs="Tahoma"/>
                <w:lang w:val="pt-BR"/>
              </w:rPr>
            </w:pPr>
            <w:r w:rsidRPr="00F56246">
              <w:rPr>
                <w:rFonts w:ascii="Cambria" w:hAnsi="Cambria" w:cs="Tahoma"/>
              </w:rPr>
              <w:t>International Financial Reporting Standards</w:t>
            </w:r>
            <w:r w:rsidRPr="00F56246">
              <w:rPr>
                <w:rFonts w:ascii="Cambria" w:hAnsi="Cambria" w:cs="Tahoma"/>
                <w:lang w:val="pt-BR"/>
              </w:rPr>
              <w:t xml:space="preserve"> - </w:t>
            </w:r>
            <w:hyperlink r:id="rId5" w:history="1">
              <w:r w:rsidRPr="00F56246">
                <w:rPr>
                  <w:color w:val="0000FF"/>
                  <w:u w:val="single"/>
                  <w:lang w:val="pt-BR" w:eastAsia="pt-BR"/>
                </w:rPr>
                <w:t>https://www.ifrs.org/</w:t>
              </w:r>
            </w:hyperlink>
          </w:p>
          <w:p w:rsidR="00842D8B" w:rsidRPr="00F56246" w:rsidRDefault="00842D8B" w:rsidP="00BE1DFC">
            <w:pPr>
              <w:pStyle w:val="Recuodecorpodetexto"/>
              <w:ind w:left="34"/>
              <w:jc w:val="both"/>
              <w:rPr>
                <w:rFonts w:ascii="Cambria" w:hAnsi="Cambria" w:cs="Tahoma"/>
                <w:lang w:val="pt-BR"/>
              </w:rPr>
            </w:pPr>
            <w:r w:rsidRPr="00F56246">
              <w:rPr>
                <w:rFonts w:ascii="Cambria" w:hAnsi="Cambria" w:cs="Tahoma"/>
              </w:rPr>
              <w:t>Instituto dos Auditores Independentes do Brasil</w:t>
            </w:r>
            <w:r w:rsidRPr="00F56246">
              <w:rPr>
                <w:rFonts w:ascii="Cambria" w:hAnsi="Cambria" w:cs="Tahoma"/>
                <w:lang w:val="pt-BR"/>
              </w:rPr>
              <w:t xml:space="preserve"> - </w:t>
            </w:r>
            <w:hyperlink r:id="rId6" w:history="1">
              <w:r w:rsidRPr="00F56246">
                <w:rPr>
                  <w:color w:val="0000FF"/>
                  <w:u w:val="single"/>
                  <w:lang w:val="pt-BR" w:eastAsia="pt-BR"/>
                </w:rPr>
                <w:t>http://www.ibracon.com.br/ibracon/Portugues/</w:t>
              </w:r>
            </w:hyperlink>
          </w:p>
          <w:p w:rsidR="00842D8B" w:rsidRPr="00F56246" w:rsidRDefault="00842D8B" w:rsidP="00BE1DFC">
            <w:pPr>
              <w:pStyle w:val="Recuodecorpodetexto"/>
              <w:ind w:left="34"/>
              <w:jc w:val="both"/>
              <w:rPr>
                <w:rFonts w:ascii="Cambria" w:hAnsi="Cambria" w:cs="Tahoma"/>
                <w:lang w:val="pt-BR"/>
              </w:rPr>
            </w:pPr>
            <w:r w:rsidRPr="00F56246">
              <w:rPr>
                <w:rFonts w:ascii="Cambria" w:hAnsi="Cambria" w:cs="Tahoma"/>
              </w:rPr>
              <w:t>Federação Nacional das Empresas de Serviços Contábeis e das Empresas de Assessoramento, Perícias, Informações e Pesquisas –</w:t>
            </w:r>
            <w:r w:rsidRPr="00F56246">
              <w:rPr>
                <w:rFonts w:ascii="Cambria" w:hAnsi="Cambria" w:cs="Tahoma"/>
                <w:lang w:val="pt-BR"/>
              </w:rPr>
              <w:t xml:space="preserve"> </w:t>
            </w:r>
            <w:hyperlink r:id="rId7" w:history="1">
              <w:r w:rsidRPr="00F56246">
                <w:rPr>
                  <w:color w:val="0000FF"/>
                  <w:u w:val="single"/>
                  <w:lang w:val="pt-BR" w:eastAsia="pt-BR"/>
                </w:rPr>
                <w:t>http://www.fenacon.org.br/</w:t>
              </w:r>
            </w:hyperlink>
          </w:p>
          <w:p w:rsidR="00842D8B" w:rsidRPr="00F56246" w:rsidRDefault="00842D8B" w:rsidP="00BE1DFC">
            <w:pPr>
              <w:pStyle w:val="Recuodecorpodetexto"/>
              <w:ind w:left="34"/>
              <w:jc w:val="both"/>
              <w:rPr>
                <w:rFonts w:ascii="Cambria" w:hAnsi="Cambria" w:cs="Tahoma"/>
                <w:lang w:val="pt-BR"/>
              </w:rPr>
            </w:pPr>
            <w:r w:rsidRPr="00F56246">
              <w:rPr>
                <w:rFonts w:ascii="Cambria" w:hAnsi="Cambria" w:cs="Tahoma"/>
              </w:rPr>
              <w:t>Conselho Federal de Contabilidade</w:t>
            </w:r>
            <w:r w:rsidRPr="00F56246">
              <w:rPr>
                <w:rFonts w:ascii="Cambria" w:hAnsi="Cambria" w:cs="Tahoma"/>
                <w:lang w:val="pt-BR"/>
              </w:rPr>
              <w:t xml:space="preserve"> - </w:t>
            </w:r>
            <w:hyperlink r:id="rId8" w:history="1">
              <w:r w:rsidRPr="00F56246">
                <w:rPr>
                  <w:color w:val="0000FF"/>
                  <w:u w:val="single"/>
                  <w:lang w:val="pt-BR" w:eastAsia="pt-BR"/>
                </w:rPr>
                <w:t>https://cfc.org.br/</w:t>
              </w:r>
            </w:hyperlink>
          </w:p>
          <w:p w:rsidR="00842D8B" w:rsidRPr="00F56246" w:rsidRDefault="00842D8B" w:rsidP="00BE1DFC">
            <w:pPr>
              <w:pStyle w:val="Recuodecorpodetexto"/>
              <w:ind w:left="34"/>
              <w:jc w:val="both"/>
            </w:pPr>
            <w:r w:rsidRPr="00F56246">
              <w:rPr>
                <w:rFonts w:ascii="Cambria" w:hAnsi="Cambria" w:cs="Tahoma"/>
              </w:rPr>
              <w:t>Comissão de Valores Mobiliários</w:t>
            </w:r>
            <w:r w:rsidRPr="00F56246">
              <w:rPr>
                <w:rFonts w:ascii="Cambria" w:hAnsi="Cambria" w:cs="Tahoma"/>
                <w:lang w:val="pt-BR"/>
              </w:rPr>
              <w:t xml:space="preserve"> - </w:t>
            </w:r>
            <w:hyperlink r:id="rId9" w:history="1">
              <w:r w:rsidRPr="00F56246">
                <w:rPr>
                  <w:rStyle w:val="Hyperlink"/>
                </w:rPr>
                <w:t>http://www.cvm.gov.br/</w:t>
              </w:r>
            </w:hyperlink>
          </w:p>
          <w:p w:rsidR="00842D8B" w:rsidRPr="00F56246" w:rsidRDefault="00842D8B" w:rsidP="00BE1DFC">
            <w:pPr>
              <w:pStyle w:val="Recuodecorpodetexto"/>
              <w:ind w:left="34"/>
              <w:jc w:val="both"/>
              <w:rPr>
                <w:rFonts w:ascii="Cambria" w:hAnsi="Cambria" w:cs="Tahoma"/>
                <w:lang w:val="pt-BR"/>
              </w:rPr>
            </w:pPr>
            <w:r w:rsidRPr="00F56246">
              <w:t>Comit</w:t>
            </w:r>
            <w:r w:rsidRPr="00F56246">
              <w:rPr>
                <w:lang w:val="pt-BR"/>
              </w:rPr>
              <w:t xml:space="preserve">ê de Pronunciamentos Contábeis - </w:t>
            </w:r>
            <w:hyperlink r:id="rId10" w:history="1">
              <w:r w:rsidRPr="00F56246">
                <w:rPr>
                  <w:color w:val="0000FF"/>
                  <w:u w:val="single"/>
                  <w:lang w:val="pt-BR" w:eastAsia="pt-BR"/>
                </w:rPr>
                <w:t>http://www.cpc.org.br/CPC</w:t>
              </w:r>
            </w:hyperlink>
          </w:p>
          <w:p w:rsidR="00842D8B" w:rsidRPr="00AF28A4" w:rsidRDefault="00842D8B" w:rsidP="00BE1DFC">
            <w:pPr>
              <w:pStyle w:val="unnamed2"/>
              <w:widowControl w:val="0"/>
              <w:spacing w:before="0" w:beforeAutospacing="0" w:after="0" w:afterAutospacing="0"/>
              <w:rPr>
                <w:rStyle w:val="unnamed31"/>
                <w:rFonts w:ascii="Cambria" w:hAnsi="Cambria" w:cs="Calibri"/>
                <w:bCs w:val="0"/>
              </w:rPr>
            </w:pPr>
          </w:p>
        </w:tc>
      </w:tr>
    </w:tbl>
    <w:p w:rsidR="00842D8B" w:rsidRPr="003A2953" w:rsidRDefault="00842D8B" w:rsidP="00842D8B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:rsidR="00842D8B" w:rsidRPr="002545C1" w:rsidRDefault="00842D8B" w:rsidP="00842D8B">
      <w:pPr>
        <w:widowControl w:val="0"/>
        <w:jc w:val="center"/>
        <w:rPr>
          <w:rFonts w:ascii="Cambria" w:hAnsi="Cambria" w:cs="Calibri"/>
          <w:sz w:val="20"/>
          <w:szCs w:val="20"/>
        </w:rPr>
      </w:pPr>
      <w:r w:rsidRPr="003A2953">
        <w:rPr>
          <w:rFonts w:ascii="Arial" w:hAnsi="Arial" w:cs="Arial"/>
          <w:sz w:val="18"/>
          <w:szCs w:val="18"/>
        </w:rPr>
        <w:br w:type="page"/>
      </w:r>
      <w:r w:rsidRPr="002545C1">
        <w:rPr>
          <w:rFonts w:ascii="Cambria" w:hAnsi="Cambria" w:cs="Calibri"/>
          <w:sz w:val="20"/>
          <w:szCs w:val="20"/>
        </w:rPr>
        <w:lastRenderedPageBreak/>
        <w:t xml:space="preserve"> </w:t>
      </w:r>
    </w:p>
    <w:p w:rsidR="00842D8B" w:rsidRDefault="00842D8B" w:rsidP="00842D8B"/>
    <w:p w:rsidR="0034657C" w:rsidRDefault="0034657C"/>
    <w:sectPr w:rsidR="0034657C" w:rsidSect="00606BBD">
      <w:headerReference w:type="even" r:id="rId11"/>
      <w:headerReference w:type="default" r:id="rId12"/>
      <w:footerReference w:type="even" r:id="rId13"/>
      <w:headerReference w:type="first" r:id="rId14"/>
      <w:pgSz w:w="11907" w:h="16840" w:code="9"/>
      <w:pgMar w:top="993" w:right="1134" w:bottom="851" w:left="1134" w:header="851" w:footer="851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740" w:rsidRDefault="00842D8B" w:rsidP="007D216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1740" w:rsidRDefault="00842D8B" w:rsidP="007D2168">
    <w:pPr>
      <w:pStyle w:val="Rodap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29" w:rsidRDefault="00842D8B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71523" o:spid="_x0000_s2050" type="#_x0000_t75" style="position:absolute;margin-left:0;margin-top:0;width:339.8pt;height:475.2pt;z-index:-251658240;mso-position-horizontal:center;mso-position-horizontal-relative:margin;mso-position-vertical:center;mso-position-vertical-relative:margin" o:allowincell="f">
          <v:imagedata r:id="rId1" o:title="UFPB 3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EE" w:rsidRPr="00D61E9C" w:rsidRDefault="00842D8B">
    <w:pPr>
      <w:pStyle w:val="Cabealho"/>
      <w:rPr>
        <w:sz w:val="10"/>
        <w:szCs w:val="10"/>
      </w:rPr>
    </w:pPr>
    <w:r>
      <w:rPr>
        <w:noProof/>
        <w:sz w:val="10"/>
        <w:szCs w:val="10"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71524" o:spid="_x0000_s2051" type="#_x0000_t75" style="position:absolute;margin-left:0;margin-top:0;width:339.8pt;height:475.2pt;z-index:-251658240;mso-position-horizontal:center;mso-position-horizontal-relative:margin;mso-position-vertical:center;mso-position-vertical-relative:margin" o:allowincell="f">
          <v:imagedata r:id="rId1" o:title="UFPB 3d" gain="19661f" blacklevel="22938f"/>
          <w10:wrap anchorx="margin" anchory="margin"/>
        </v:shape>
      </w:pict>
    </w:r>
    <w:r w:rsidRPr="00D61E9C">
      <w:rPr>
        <w:noProof/>
        <w:sz w:val="10"/>
        <w:szCs w:val="10"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87BDCD4" wp14:editId="22D39EF0">
              <wp:simplePos x="0" y="0"/>
              <wp:positionH relativeFrom="page">
                <wp:posOffset>6956425</wp:posOffset>
              </wp:positionH>
              <wp:positionV relativeFrom="page">
                <wp:posOffset>2148205</wp:posOffset>
              </wp:positionV>
              <wp:extent cx="488315" cy="237490"/>
              <wp:effectExtent l="3175" t="5080" r="3810" b="5080"/>
              <wp:wrapNone/>
              <wp:docPr id="3" name="Agrup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4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8EE" w:rsidRDefault="00842D8B">
                            <w:pPr>
                              <w:pStyle w:val="Cabealho"/>
                              <w:jc w:val="center"/>
                            </w:pPr>
                            <w:r w:rsidRPr="00A578EE"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 w:rsidRPr="00A578EE"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842D8B">
                              <w:rPr>
                                <w:rStyle w:val="Nmerodepgina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</w:rPr>
                              <w:t>1</w:t>
                            </w:r>
                            <w:r w:rsidRPr="00A578EE">
                              <w:rPr>
                                <w:rStyle w:val="Nmerodep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6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7BDCD4" id="Agrupar 3" o:spid="_x0000_s1026" style="position:absolute;margin-left:547.75pt;margin-top:169.15pt;width:38.45pt;height:18.7pt;z-index:251659264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<v:textbox inset="0,0,0,0">
                  <w:txbxContent>
                    <w:p w:rsidR="00A578EE" w:rsidRDefault="00842D8B">
                      <w:pPr>
                        <w:pStyle w:val="Cabealho"/>
                        <w:jc w:val="center"/>
                      </w:pPr>
                      <w:r w:rsidRPr="00A578EE"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A578EE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Pr="00842D8B">
                        <w:rPr>
                          <w:rStyle w:val="Nmerodepgina"/>
                          <w:b/>
                          <w:bCs/>
                          <w:noProof/>
                          <w:color w:val="403152"/>
                          <w:sz w:val="16"/>
                          <w:szCs w:val="16"/>
                        </w:rPr>
                        <w:t>1</w:t>
                      </w:r>
                      <w:r w:rsidRPr="00A578EE">
                        <w:rPr>
                          <w:rStyle w:val="Nmerodepgina"/>
                          <w:b/>
                          <w:bCs/>
                          <w:color w:val="403152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729" w:rsidRDefault="00842D8B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71522" o:spid="_x0000_s2049" type="#_x0000_t75" style="position:absolute;margin-left:0;margin-top:0;width:339.8pt;height:475.2pt;z-index:-251658240;mso-position-horizontal:center;mso-position-horizontal-relative:margin;mso-position-vertical:center;mso-position-vertical-relative:margin" o:allowincell="f">
          <v:imagedata r:id="rId1" o:title="UFPB 3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8B"/>
    <w:rsid w:val="0034657C"/>
    <w:rsid w:val="0084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2F0037"/>
  <w15:chartTrackingRefBased/>
  <w15:docId w15:val="{11ED2311-15F3-4C16-AF31-144597B9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842D8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842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Luiz1">
    <w:name w:val="Luiz1"/>
    <w:basedOn w:val="Normal"/>
    <w:rsid w:val="00842D8B"/>
    <w:pPr>
      <w:jc w:val="both"/>
    </w:pPr>
    <w:rPr>
      <w:rFonts w:ascii="Arial" w:hAnsi="Arial"/>
      <w:szCs w:val="20"/>
    </w:rPr>
  </w:style>
  <w:style w:type="character" w:styleId="Nmerodepgina">
    <w:name w:val="page number"/>
    <w:basedOn w:val="Fontepargpadro"/>
    <w:uiPriority w:val="99"/>
    <w:rsid w:val="00842D8B"/>
  </w:style>
  <w:style w:type="paragraph" w:styleId="Cabealho">
    <w:name w:val="header"/>
    <w:basedOn w:val="Normal"/>
    <w:link w:val="CabealhoChar"/>
    <w:rsid w:val="00842D8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42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unnamed2">
    <w:name w:val="unnamed2"/>
    <w:basedOn w:val="Normal"/>
    <w:rsid w:val="00842D8B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customStyle="1" w:styleId="unnamed31">
    <w:name w:val="unnamed31"/>
    <w:rsid w:val="00842D8B"/>
    <w:rPr>
      <w:rFonts w:ascii="Verdana" w:hAnsi="Verdana" w:hint="default"/>
      <w:b/>
      <w:bCs/>
      <w:color w:val="000000"/>
      <w:sz w:val="20"/>
      <w:szCs w:val="20"/>
    </w:rPr>
  </w:style>
  <w:style w:type="character" w:styleId="Hyperlink">
    <w:name w:val="Hyperlink"/>
    <w:rsid w:val="00842D8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42D8B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842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842D8B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842D8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c.org.br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enacon.org.br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bracon.com.br/ibracon/Portugues/" TargetMode="External"/><Relationship Id="rId11" Type="http://schemas.openxmlformats.org/officeDocument/2006/relationships/header" Target="header1.xml"/><Relationship Id="rId5" Type="http://schemas.openxmlformats.org/officeDocument/2006/relationships/hyperlink" Target="https://www.ifrs.org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pc.org.br/CPC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vm.gov.br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568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ADUFPB</dc:creator>
  <cp:keywords/>
  <dc:description/>
  <cp:lastModifiedBy>Secretaria ADUFPB</cp:lastModifiedBy>
  <cp:revision>1</cp:revision>
  <dcterms:created xsi:type="dcterms:W3CDTF">2020-05-29T12:18:00Z</dcterms:created>
  <dcterms:modified xsi:type="dcterms:W3CDTF">2020-05-29T12:27:00Z</dcterms:modified>
</cp:coreProperties>
</file>